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286A6" w14:textId="24481E2A" w:rsidR="005A40F5" w:rsidRPr="00557496" w:rsidRDefault="00D92349" w:rsidP="005A40F5">
      <w:pPr>
        <w:spacing w:line="480" w:lineRule="auto"/>
        <w:jc w:val="center"/>
        <w:rPr>
          <w:rFonts w:ascii="Times New Roman" w:hAnsi="Times New Roman" w:cs="Times New Roman"/>
          <w:b/>
          <w:bCs/>
          <w:sz w:val="24"/>
          <w:szCs w:val="24"/>
          <w:lang w:val="es-CO"/>
        </w:rPr>
      </w:pPr>
      <w:r>
        <w:rPr>
          <w:rFonts w:ascii="Times New Roman" w:hAnsi="Times New Roman" w:cs="Times New Roman"/>
          <w:b/>
          <w:bCs/>
          <w:sz w:val="24"/>
          <w:szCs w:val="24"/>
          <w:lang w:val="es-CO"/>
        </w:rPr>
        <w:t>Apéndice E</w:t>
      </w:r>
      <w:r w:rsidR="005A40F5" w:rsidRPr="005A40F5">
        <w:rPr>
          <w:rFonts w:ascii="Times New Roman" w:hAnsi="Times New Roman" w:cs="Times New Roman"/>
          <w:b/>
          <w:bCs/>
          <w:sz w:val="24"/>
          <w:szCs w:val="24"/>
          <w:lang w:val="es-CO"/>
        </w:rPr>
        <w:t xml:space="preserve">. </w:t>
      </w:r>
      <w:r w:rsidR="00557496" w:rsidRPr="00557496">
        <w:rPr>
          <w:rFonts w:ascii="Times New Roman" w:hAnsi="Times New Roman" w:cs="Times New Roman"/>
          <w:b/>
          <w:bCs/>
          <w:sz w:val="24"/>
          <w:szCs w:val="24"/>
          <w:lang w:val="es-CO"/>
        </w:rPr>
        <w:t>Diseño Metodológico para la caracterización del proceso de gestión y formalización de acuerdos de transferencia tecnológica en salud.</w:t>
      </w:r>
    </w:p>
    <w:p w14:paraId="40B0D5CF" w14:textId="0458BD06" w:rsidR="005A40F5" w:rsidRPr="005A40F5" w:rsidRDefault="005A40F5" w:rsidP="005A40F5">
      <w:pPr>
        <w:spacing w:line="480" w:lineRule="auto"/>
        <w:jc w:val="both"/>
        <w:rPr>
          <w:rFonts w:ascii="Times New Roman" w:hAnsi="Times New Roman" w:cs="Times New Roman"/>
          <w:sz w:val="24"/>
          <w:szCs w:val="24"/>
          <w:lang w:val="es-CO"/>
        </w:rPr>
      </w:pPr>
    </w:p>
    <w:sdt>
      <w:sdtPr>
        <w:rPr>
          <w:rFonts w:ascii="Times New Roman" w:eastAsiaTheme="minorHAnsi" w:hAnsi="Times New Roman" w:cs="Times New Roman"/>
          <w:b/>
          <w:bCs/>
          <w:color w:val="auto"/>
          <w:kern w:val="2"/>
          <w:sz w:val="28"/>
          <w:szCs w:val="28"/>
          <w:lang w:val="es-ES"/>
          <w14:ligatures w14:val="standardContextual"/>
        </w:rPr>
        <w:id w:val="1139082028"/>
        <w:docPartObj>
          <w:docPartGallery w:val="Table of Contents"/>
          <w:docPartUnique/>
        </w:docPartObj>
      </w:sdtPr>
      <w:sdtEndPr>
        <w:rPr>
          <w:rFonts w:asciiTheme="minorHAnsi" w:hAnsiTheme="minorHAnsi" w:cstheme="minorBidi"/>
          <w:sz w:val="22"/>
          <w:szCs w:val="22"/>
        </w:rPr>
      </w:sdtEndPr>
      <w:sdtContent>
        <w:p w14:paraId="7E7812DC" w14:textId="03128EB0" w:rsidR="000A635E" w:rsidRDefault="000A635E" w:rsidP="000A635E">
          <w:pPr>
            <w:pStyle w:val="TtuloTDC"/>
            <w:jc w:val="center"/>
            <w:rPr>
              <w:rFonts w:ascii="Times New Roman" w:hAnsi="Times New Roman" w:cs="Times New Roman"/>
              <w:b/>
              <w:bCs/>
              <w:color w:val="auto"/>
              <w:sz w:val="28"/>
              <w:szCs w:val="28"/>
              <w:lang w:val="es-ES"/>
            </w:rPr>
          </w:pPr>
          <w:r w:rsidRPr="000A635E">
            <w:rPr>
              <w:rFonts w:ascii="Times New Roman" w:hAnsi="Times New Roman" w:cs="Times New Roman"/>
              <w:b/>
              <w:bCs/>
              <w:color w:val="auto"/>
              <w:sz w:val="28"/>
              <w:szCs w:val="28"/>
              <w:lang w:val="es-ES"/>
            </w:rPr>
            <w:t>Tabla de contenido</w:t>
          </w:r>
        </w:p>
        <w:p w14:paraId="79F8BAF1" w14:textId="77777777" w:rsidR="000A635E" w:rsidRPr="00D2078B" w:rsidRDefault="000A635E" w:rsidP="00D2078B">
          <w:pPr>
            <w:spacing w:line="480" w:lineRule="auto"/>
            <w:rPr>
              <w:rFonts w:ascii="Times New Roman" w:hAnsi="Times New Roman" w:cs="Times New Roman"/>
              <w:sz w:val="24"/>
              <w:szCs w:val="24"/>
              <w:lang w:val="es-ES"/>
            </w:rPr>
          </w:pPr>
        </w:p>
        <w:p w14:paraId="720DCA9D" w14:textId="4CF67302" w:rsidR="00D2078B" w:rsidRPr="00D2078B" w:rsidRDefault="000A635E" w:rsidP="00D2078B">
          <w:pPr>
            <w:pStyle w:val="TDC1"/>
            <w:tabs>
              <w:tab w:val="left" w:pos="440"/>
              <w:tab w:val="right" w:leader="dot" w:pos="9350"/>
            </w:tabs>
            <w:spacing w:line="480" w:lineRule="auto"/>
            <w:rPr>
              <w:rFonts w:ascii="Times New Roman" w:eastAsiaTheme="minorEastAsia" w:hAnsi="Times New Roman" w:cs="Times New Roman"/>
              <w:noProof/>
              <w:kern w:val="0"/>
              <w:sz w:val="24"/>
              <w:szCs w:val="24"/>
              <w14:ligatures w14:val="none"/>
            </w:rPr>
          </w:pPr>
          <w:r w:rsidRPr="00D2078B">
            <w:rPr>
              <w:rFonts w:ascii="Times New Roman" w:hAnsi="Times New Roman" w:cs="Times New Roman"/>
              <w:sz w:val="24"/>
              <w:szCs w:val="24"/>
            </w:rPr>
            <w:fldChar w:fldCharType="begin"/>
          </w:r>
          <w:r w:rsidRPr="00D2078B">
            <w:rPr>
              <w:rFonts w:ascii="Times New Roman" w:hAnsi="Times New Roman" w:cs="Times New Roman"/>
              <w:sz w:val="24"/>
              <w:szCs w:val="24"/>
            </w:rPr>
            <w:instrText xml:space="preserve"> TOC \o "1-3" \h \z \u </w:instrText>
          </w:r>
          <w:r w:rsidRPr="00D2078B">
            <w:rPr>
              <w:rFonts w:ascii="Times New Roman" w:hAnsi="Times New Roman" w:cs="Times New Roman"/>
              <w:sz w:val="24"/>
              <w:szCs w:val="24"/>
            </w:rPr>
            <w:fldChar w:fldCharType="separate"/>
          </w:r>
          <w:hyperlink w:anchor="_Toc202389891" w:history="1">
            <w:r w:rsidR="00D2078B" w:rsidRPr="00D2078B">
              <w:rPr>
                <w:rStyle w:val="Hipervnculo"/>
                <w:rFonts w:ascii="Times New Roman" w:hAnsi="Times New Roman" w:cs="Times New Roman"/>
                <w:noProof/>
                <w:sz w:val="24"/>
                <w:szCs w:val="24"/>
                <w:lang w:val="es-CO"/>
              </w:rPr>
              <w:t>1.</w:t>
            </w:r>
            <w:r w:rsidR="00D2078B" w:rsidRPr="00D2078B">
              <w:rPr>
                <w:rFonts w:ascii="Times New Roman" w:eastAsiaTheme="minorEastAsia" w:hAnsi="Times New Roman" w:cs="Times New Roman"/>
                <w:noProof/>
                <w:kern w:val="0"/>
                <w:sz w:val="24"/>
                <w:szCs w:val="24"/>
                <w14:ligatures w14:val="none"/>
              </w:rPr>
              <w:tab/>
            </w:r>
            <w:r w:rsidR="00D2078B" w:rsidRPr="00D2078B">
              <w:rPr>
                <w:rStyle w:val="Hipervnculo"/>
                <w:rFonts w:ascii="Times New Roman" w:hAnsi="Times New Roman" w:cs="Times New Roman"/>
                <w:noProof/>
                <w:sz w:val="24"/>
                <w:szCs w:val="24"/>
                <w:lang w:val="es-CO"/>
              </w:rPr>
              <w:t>Tipo y enfoque del estudio</w:t>
            </w:r>
            <w:r w:rsidR="00D2078B" w:rsidRPr="00D2078B">
              <w:rPr>
                <w:rFonts w:ascii="Times New Roman" w:hAnsi="Times New Roman" w:cs="Times New Roman"/>
                <w:noProof/>
                <w:webHidden/>
                <w:sz w:val="24"/>
                <w:szCs w:val="24"/>
              </w:rPr>
              <w:tab/>
            </w:r>
            <w:r w:rsidR="00D2078B" w:rsidRPr="00D2078B">
              <w:rPr>
                <w:rFonts w:ascii="Times New Roman" w:hAnsi="Times New Roman" w:cs="Times New Roman"/>
                <w:noProof/>
                <w:webHidden/>
                <w:sz w:val="24"/>
                <w:szCs w:val="24"/>
              </w:rPr>
              <w:fldChar w:fldCharType="begin"/>
            </w:r>
            <w:r w:rsidR="00D2078B" w:rsidRPr="00D2078B">
              <w:rPr>
                <w:rFonts w:ascii="Times New Roman" w:hAnsi="Times New Roman" w:cs="Times New Roman"/>
                <w:noProof/>
                <w:webHidden/>
                <w:sz w:val="24"/>
                <w:szCs w:val="24"/>
              </w:rPr>
              <w:instrText xml:space="preserve"> PAGEREF _Toc202389891 \h </w:instrText>
            </w:r>
            <w:r w:rsidR="00D2078B" w:rsidRPr="00D2078B">
              <w:rPr>
                <w:rFonts w:ascii="Times New Roman" w:hAnsi="Times New Roman" w:cs="Times New Roman"/>
                <w:noProof/>
                <w:webHidden/>
                <w:sz w:val="24"/>
                <w:szCs w:val="24"/>
              </w:rPr>
            </w:r>
            <w:r w:rsidR="00D2078B" w:rsidRPr="00D2078B">
              <w:rPr>
                <w:rFonts w:ascii="Times New Roman" w:hAnsi="Times New Roman" w:cs="Times New Roman"/>
                <w:noProof/>
                <w:webHidden/>
                <w:sz w:val="24"/>
                <w:szCs w:val="24"/>
              </w:rPr>
              <w:fldChar w:fldCharType="separate"/>
            </w:r>
            <w:r w:rsidR="00D2078B" w:rsidRPr="00D2078B">
              <w:rPr>
                <w:rFonts w:ascii="Times New Roman" w:hAnsi="Times New Roman" w:cs="Times New Roman"/>
                <w:noProof/>
                <w:webHidden/>
                <w:sz w:val="24"/>
                <w:szCs w:val="24"/>
              </w:rPr>
              <w:t>1</w:t>
            </w:r>
            <w:r w:rsidR="00D2078B" w:rsidRPr="00D2078B">
              <w:rPr>
                <w:rFonts w:ascii="Times New Roman" w:hAnsi="Times New Roman" w:cs="Times New Roman"/>
                <w:noProof/>
                <w:webHidden/>
                <w:sz w:val="24"/>
                <w:szCs w:val="24"/>
              </w:rPr>
              <w:fldChar w:fldCharType="end"/>
            </w:r>
          </w:hyperlink>
        </w:p>
        <w:p w14:paraId="1622E857" w14:textId="701553DB" w:rsidR="00D2078B" w:rsidRPr="00D2078B" w:rsidRDefault="00557496" w:rsidP="00D2078B">
          <w:pPr>
            <w:pStyle w:val="TDC1"/>
            <w:tabs>
              <w:tab w:val="left" w:pos="440"/>
              <w:tab w:val="right" w:leader="dot" w:pos="9350"/>
            </w:tabs>
            <w:spacing w:line="480" w:lineRule="auto"/>
            <w:rPr>
              <w:rFonts w:ascii="Times New Roman" w:eastAsiaTheme="minorEastAsia" w:hAnsi="Times New Roman" w:cs="Times New Roman"/>
              <w:noProof/>
              <w:kern w:val="0"/>
              <w:sz w:val="24"/>
              <w:szCs w:val="24"/>
              <w14:ligatures w14:val="none"/>
            </w:rPr>
          </w:pPr>
          <w:hyperlink w:anchor="_Toc202389892" w:history="1">
            <w:r w:rsidR="00D2078B" w:rsidRPr="00D2078B">
              <w:rPr>
                <w:rStyle w:val="Hipervnculo"/>
                <w:rFonts w:ascii="Times New Roman" w:hAnsi="Times New Roman" w:cs="Times New Roman"/>
                <w:noProof/>
                <w:sz w:val="24"/>
                <w:szCs w:val="24"/>
                <w:lang w:val="es-CO"/>
              </w:rPr>
              <w:t>2.</w:t>
            </w:r>
            <w:r w:rsidR="00D2078B" w:rsidRPr="00D2078B">
              <w:rPr>
                <w:rFonts w:ascii="Times New Roman" w:eastAsiaTheme="minorEastAsia" w:hAnsi="Times New Roman" w:cs="Times New Roman"/>
                <w:noProof/>
                <w:kern w:val="0"/>
                <w:sz w:val="24"/>
                <w:szCs w:val="24"/>
                <w14:ligatures w14:val="none"/>
              </w:rPr>
              <w:tab/>
            </w:r>
            <w:r w:rsidR="00D2078B" w:rsidRPr="00D2078B">
              <w:rPr>
                <w:rStyle w:val="Hipervnculo"/>
                <w:rFonts w:ascii="Times New Roman" w:hAnsi="Times New Roman" w:cs="Times New Roman"/>
                <w:noProof/>
                <w:sz w:val="24"/>
                <w:szCs w:val="24"/>
                <w:lang w:val="es-CO"/>
              </w:rPr>
              <w:t>Identificación de etapas y elementos del proceso de TT</w:t>
            </w:r>
            <w:r w:rsidR="00D2078B" w:rsidRPr="00D2078B">
              <w:rPr>
                <w:rFonts w:ascii="Times New Roman" w:hAnsi="Times New Roman" w:cs="Times New Roman"/>
                <w:noProof/>
                <w:webHidden/>
                <w:sz w:val="24"/>
                <w:szCs w:val="24"/>
              </w:rPr>
              <w:tab/>
            </w:r>
            <w:r w:rsidR="00D2078B" w:rsidRPr="00D2078B">
              <w:rPr>
                <w:rFonts w:ascii="Times New Roman" w:hAnsi="Times New Roman" w:cs="Times New Roman"/>
                <w:noProof/>
                <w:webHidden/>
                <w:sz w:val="24"/>
                <w:szCs w:val="24"/>
              </w:rPr>
              <w:fldChar w:fldCharType="begin"/>
            </w:r>
            <w:r w:rsidR="00D2078B" w:rsidRPr="00D2078B">
              <w:rPr>
                <w:rFonts w:ascii="Times New Roman" w:hAnsi="Times New Roman" w:cs="Times New Roman"/>
                <w:noProof/>
                <w:webHidden/>
                <w:sz w:val="24"/>
                <w:szCs w:val="24"/>
              </w:rPr>
              <w:instrText xml:space="preserve"> PAGEREF _Toc202389892 \h </w:instrText>
            </w:r>
            <w:r w:rsidR="00D2078B" w:rsidRPr="00D2078B">
              <w:rPr>
                <w:rFonts w:ascii="Times New Roman" w:hAnsi="Times New Roman" w:cs="Times New Roman"/>
                <w:noProof/>
                <w:webHidden/>
                <w:sz w:val="24"/>
                <w:szCs w:val="24"/>
              </w:rPr>
            </w:r>
            <w:r w:rsidR="00D2078B" w:rsidRPr="00D2078B">
              <w:rPr>
                <w:rFonts w:ascii="Times New Roman" w:hAnsi="Times New Roman" w:cs="Times New Roman"/>
                <w:noProof/>
                <w:webHidden/>
                <w:sz w:val="24"/>
                <w:szCs w:val="24"/>
              </w:rPr>
              <w:fldChar w:fldCharType="separate"/>
            </w:r>
            <w:r w:rsidR="00D2078B" w:rsidRPr="00D2078B">
              <w:rPr>
                <w:rFonts w:ascii="Times New Roman" w:hAnsi="Times New Roman" w:cs="Times New Roman"/>
                <w:noProof/>
                <w:webHidden/>
                <w:sz w:val="24"/>
                <w:szCs w:val="24"/>
              </w:rPr>
              <w:t>2</w:t>
            </w:r>
            <w:r w:rsidR="00D2078B" w:rsidRPr="00D2078B">
              <w:rPr>
                <w:rFonts w:ascii="Times New Roman" w:hAnsi="Times New Roman" w:cs="Times New Roman"/>
                <w:noProof/>
                <w:webHidden/>
                <w:sz w:val="24"/>
                <w:szCs w:val="24"/>
              </w:rPr>
              <w:fldChar w:fldCharType="end"/>
            </w:r>
          </w:hyperlink>
        </w:p>
        <w:p w14:paraId="54381C75" w14:textId="425F5F9E" w:rsidR="00D2078B" w:rsidRPr="00D2078B" w:rsidRDefault="00557496" w:rsidP="00D2078B">
          <w:pPr>
            <w:pStyle w:val="TDC1"/>
            <w:tabs>
              <w:tab w:val="left" w:pos="440"/>
              <w:tab w:val="right" w:leader="dot" w:pos="9350"/>
            </w:tabs>
            <w:spacing w:line="480" w:lineRule="auto"/>
            <w:rPr>
              <w:rFonts w:ascii="Times New Roman" w:eastAsiaTheme="minorEastAsia" w:hAnsi="Times New Roman" w:cs="Times New Roman"/>
              <w:noProof/>
              <w:kern w:val="0"/>
              <w:sz w:val="24"/>
              <w:szCs w:val="24"/>
              <w14:ligatures w14:val="none"/>
            </w:rPr>
          </w:pPr>
          <w:hyperlink w:anchor="_Toc202389893" w:history="1">
            <w:r w:rsidR="00D2078B" w:rsidRPr="00D2078B">
              <w:rPr>
                <w:rStyle w:val="Hipervnculo"/>
                <w:rFonts w:ascii="Times New Roman" w:hAnsi="Times New Roman" w:cs="Times New Roman"/>
                <w:noProof/>
                <w:sz w:val="24"/>
                <w:szCs w:val="24"/>
                <w:lang w:val="es-CO"/>
              </w:rPr>
              <w:t>3.</w:t>
            </w:r>
            <w:r w:rsidR="00D2078B" w:rsidRPr="00D2078B">
              <w:rPr>
                <w:rFonts w:ascii="Times New Roman" w:eastAsiaTheme="minorEastAsia" w:hAnsi="Times New Roman" w:cs="Times New Roman"/>
                <w:noProof/>
                <w:kern w:val="0"/>
                <w:sz w:val="24"/>
                <w:szCs w:val="24"/>
                <w14:ligatures w14:val="none"/>
              </w:rPr>
              <w:tab/>
            </w:r>
            <w:r w:rsidR="00D2078B" w:rsidRPr="00D2078B">
              <w:rPr>
                <w:rStyle w:val="Hipervnculo"/>
                <w:rFonts w:ascii="Times New Roman" w:hAnsi="Times New Roman" w:cs="Times New Roman"/>
                <w:noProof/>
                <w:sz w:val="24"/>
                <w:szCs w:val="24"/>
                <w:lang w:val="es-CO"/>
              </w:rPr>
              <w:t>Revisión documental y diagnóstico territorial</w:t>
            </w:r>
            <w:r w:rsidR="00D2078B" w:rsidRPr="00D2078B">
              <w:rPr>
                <w:rFonts w:ascii="Times New Roman" w:hAnsi="Times New Roman" w:cs="Times New Roman"/>
                <w:noProof/>
                <w:webHidden/>
                <w:sz w:val="24"/>
                <w:szCs w:val="24"/>
              </w:rPr>
              <w:tab/>
            </w:r>
            <w:r w:rsidR="00D2078B" w:rsidRPr="00D2078B">
              <w:rPr>
                <w:rFonts w:ascii="Times New Roman" w:hAnsi="Times New Roman" w:cs="Times New Roman"/>
                <w:noProof/>
                <w:webHidden/>
                <w:sz w:val="24"/>
                <w:szCs w:val="24"/>
              </w:rPr>
              <w:fldChar w:fldCharType="begin"/>
            </w:r>
            <w:r w:rsidR="00D2078B" w:rsidRPr="00D2078B">
              <w:rPr>
                <w:rFonts w:ascii="Times New Roman" w:hAnsi="Times New Roman" w:cs="Times New Roman"/>
                <w:noProof/>
                <w:webHidden/>
                <w:sz w:val="24"/>
                <w:szCs w:val="24"/>
              </w:rPr>
              <w:instrText xml:space="preserve"> PAGEREF _Toc202389893 \h </w:instrText>
            </w:r>
            <w:r w:rsidR="00D2078B" w:rsidRPr="00D2078B">
              <w:rPr>
                <w:rFonts w:ascii="Times New Roman" w:hAnsi="Times New Roman" w:cs="Times New Roman"/>
                <w:noProof/>
                <w:webHidden/>
                <w:sz w:val="24"/>
                <w:szCs w:val="24"/>
              </w:rPr>
            </w:r>
            <w:r w:rsidR="00D2078B" w:rsidRPr="00D2078B">
              <w:rPr>
                <w:rFonts w:ascii="Times New Roman" w:hAnsi="Times New Roman" w:cs="Times New Roman"/>
                <w:noProof/>
                <w:webHidden/>
                <w:sz w:val="24"/>
                <w:szCs w:val="24"/>
              </w:rPr>
              <w:fldChar w:fldCharType="separate"/>
            </w:r>
            <w:r w:rsidR="00D2078B" w:rsidRPr="00D2078B">
              <w:rPr>
                <w:rFonts w:ascii="Times New Roman" w:hAnsi="Times New Roman" w:cs="Times New Roman"/>
                <w:noProof/>
                <w:webHidden/>
                <w:sz w:val="24"/>
                <w:szCs w:val="24"/>
              </w:rPr>
              <w:t>3</w:t>
            </w:r>
            <w:r w:rsidR="00D2078B" w:rsidRPr="00D2078B">
              <w:rPr>
                <w:rFonts w:ascii="Times New Roman" w:hAnsi="Times New Roman" w:cs="Times New Roman"/>
                <w:noProof/>
                <w:webHidden/>
                <w:sz w:val="24"/>
                <w:szCs w:val="24"/>
              </w:rPr>
              <w:fldChar w:fldCharType="end"/>
            </w:r>
          </w:hyperlink>
        </w:p>
        <w:p w14:paraId="07A89FF4" w14:textId="2C413956" w:rsidR="00D2078B" w:rsidRPr="00D2078B" w:rsidRDefault="00557496" w:rsidP="00D2078B">
          <w:pPr>
            <w:pStyle w:val="TDC1"/>
            <w:tabs>
              <w:tab w:val="left" w:pos="440"/>
              <w:tab w:val="right" w:leader="dot" w:pos="9350"/>
            </w:tabs>
            <w:spacing w:line="480" w:lineRule="auto"/>
            <w:rPr>
              <w:rFonts w:ascii="Times New Roman" w:eastAsiaTheme="minorEastAsia" w:hAnsi="Times New Roman" w:cs="Times New Roman"/>
              <w:noProof/>
              <w:kern w:val="0"/>
              <w:sz w:val="24"/>
              <w:szCs w:val="24"/>
              <w14:ligatures w14:val="none"/>
            </w:rPr>
          </w:pPr>
          <w:hyperlink w:anchor="_Toc202389894" w:history="1">
            <w:r w:rsidR="00D2078B" w:rsidRPr="00D2078B">
              <w:rPr>
                <w:rStyle w:val="Hipervnculo"/>
                <w:rFonts w:ascii="Times New Roman" w:hAnsi="Times New Roman" w:cs="Times New Roman"/>
                <w:noProof/>
                <w:sz w:val="24"/>
                <w:szCs w:val="24"/>
                <w:lang w:val="es-CO"/>
              </w:rPr>
              <w:t>4.</w:t>
            </w:r>
            <w:r w:rsidR="00D2078B" w:rsidRPr="00D2078B">
              <w:rPr>
                <w:rFonts w:ascii="Times New Roman" w:eastAsiaTheme="minorEastAsia" w:hAnsi="Times New Roman" w:cs="Times New Roman"/>
                <w:noProof/>
                <w:kern w:val="0"/>
                <w:sz w:val="24"/>
                <w:szCs w:val="24"/>
                <w14:ligatures w14:val="none"/>
              </w:rPr>
              <w:tab/>
            </w:r>
            <w:r w:rsidR="00D2078B" w:rsidRPr="00D2078B">
              <w:rPr>
                <w:rStyle w:val="Hipervnculo"/>
                <w:rFonts w:ascii="Times New Roman" w:hAnsi="Times New Roman" w:cs="Times New Roman"/>
                <w:noProof/>
                <w:sz w:val="24"/>
                <w:szCs w:val="24"/>
                <w:lang w:val="es-CO"/>
              </w:rPr>
              <w:t>Trabajo de campo con actores clave</w:t>
            </w:r>
            <w:r w:rsidR="00D2078B" w:rsidRPr="00D2078B">
              <w:rPr>
                <w:rFonts w:ascii="Times New Roman" w:hAnsi="Times New Roman" w:cs="Times New Roman"/>
                <w:noProof/>
                <w:webHidden/>
                <w:sz w:val="24"/>
                <w:szCs w:val="24"/>
              </w:rPr>
              <w:tab/>
            </w:r>
            <w:r w:rsidR="00D2078B" w:rsidRPr="00D2078B">
              <w:rPr>
                <w:rFonts w:ascii="Times New Roman" w:hAnsi="Times New Roman" w:cs="Times New Roman"/>
                <w:noProof/>
                <w:webHidden/>
                <w:sz w:val="24"/>
                <w:szCs w:val="24"/>
              </w:rPr>
              <w:fldChar w:fldCharType="begin"/>
            </w:r>
            <w:r w:rsidR="00D2078B" w:rsidRPr="00D2078B">
              <w:rPr>
                <w:rFonts w:ascii="Times New Roman" w:hAnsi="Times New Roman" w:cs="Times New Roman"/>
                <w:noProof/>
                <w:webHidden/>
                <w:sz w:val="24"/>
                <w:szCs w:val="24"/>
              </w:rPr>
              <w:instrText xml:space="preserve"> PAGEREF _Toc202389894 \h </w:instrText>
            </w:r>
            <w:r w:rsidR="00D2078B" w:rsidRPr="00D2078B">
              <w:rPr>
                <w:rFonts w:ascii="Times New Roman" w:hAnsi="Times New Roman" w:cs="Times New Roman"/>
                <w:noProof/>
                <w:webHidden/>
                <w:sz w:val="24"/>
                <w:szCs w:val="24"/>
              </w:rPr>
            </w:r>
            <w:r w:rsidR="00D2078B" w:rsidRPr="00D2078B">
              <w:rPr>
                <w:rFonts w:ascii="Times New Roman" w:hAnsi="Times New Roman" w:cs="Times New Roman"/>
                <w:noProof/>
                <w:webHidden/>
                <w:sz w:val="24"/>
                <w:szCs w:val="24"/>
              </w:rPr>
              <w:fldChar w:fldCharType="separate"/>
            </w:r>
            <w:r w:rsidR="00D2078B" w:rsidRPr="00D2078B">
              <w:rPr>
                <w:rFonts w:ascii="Times New Roman" w:hAnsi="Times New Roman" w:cs="Times New Roman"/>
                <w:noProof/>
                <w:webHidden/>
                <w:sz w:val="24"/>
                <w:szCs w:val="24"/>
              </w:rPr>
              <w:t>3</w:t>
            </w:r>
            <w:r w:rsidR="00D2078B" w:rsidRPr="00D2078B">
              <w:rPr>
                <w:rFonts w:ascii="Times New Roman" w:hAnsi="Times New Roman" w:cs="Times New Roman"/>
                <w:noProof/>
                <w:webHidden/>
                <w:sz w:val="24"/>
                <w:szCs w:val="24"/>
              </w:rPr>
              <w:fldChar w:fldCharType="end"/>
            </w:r>
          </w:hyperlink>
        </w:p>
        <w:p w14:paraId="6B0D193F" w14:textId="622EBB20" w:rsidR="00D2078B" w:rsidRPr="00D2078B" w:rsidRDefault="00557496" w:rsidP="00D2078B">
          <w:pPr>
            <w:pStyle w:val="TDC1"/>
            <w:tabs>
              <w:tab w:val="left" w:pos="440"/>
              <w:tab w:val="right" w:leader="dot" w:pos="9350"/>
            </w:tabs>
            <w:spacing w:line="480" w:lineRule="auto"/>
            <w:rPr>
              <w:rFonts w:ascii="Times New Roman" w:eastAsiaTheme="minorEastAsia" w:hAnsi="Times New Roman" w:cs="Times New Roman"/>
              <w:noProof/>
              <w:kern w:val="0"/>
              <w:sz w:val="24"/>
              <w:szCs w:val="24"/>
              <w14:ligatures w14:val="none"/>
            </w:rPr>
          </w:pPr>
          <w:hyperlink w:anchor="_Toc202389895" w:history="1">
            <w:r w:rsidR="00D2078B" w:rsidRPr="00D2078B">
              <w:rPr>
                <w:rStyle w:val="Hipervnculo"/>
                <w:rFonts w:ascii="Times New Roman" w:hAnsi="Times New Roman" w:cs="Times New Roman"/>
                <w:noProof/>
                <w:sz w:val="24"/>
                <w:szCs w:val="24"/>
                <w:lang w:val="es-CO"/>
              </w:rPr>
              <w:t>5.</w:t>
            </w:r>
            <w:r w:rsidR="00D2078B" w:rsidRPr="00D2078B">
              <w:rPr>
                <w:rFonts w:ascii="Times New Roman" w:eastAsiaTheme="minorEastAsia" w:hAnsi="Times New Roman" w:cs="Times New Roman"/>
                <w:noProof/>
                <w:kern w:val="0"/>
                <w:sz w:val="24"/>
                <w:szCs w:val="24"/>
                <w14:ligatures w14:val="none"/>
              </w:rPr>
              <w:tab/>
            </w:r>
            <w:r w:rsidR="00D2078B" w:rsidRPr="00D2078B">
              <w:rPr>
                <w:rStyle w:val="Hipervnculo"/>
                <w:rFonts w:ascii="Times New Roman" w:hAnsi="Times New Roman" w:cs="Times New Roman"/>
                <w:noProof/>
                <w:sz w:val="24"/>
                <w:szCs w:val="24"/>
                <w:lang w:val="es-CO"/>
              </w:rPr>
              <w:t>Análisis comparativo e integración de hallazgos</w:t>
            </w:r>
            <w:r w:rsidR="00D2078B" w:rsidRPr="00D2078B">
              <w:rPr>
                <w:rFonts w:ascii="Times New Roman" w:hAnsi="Times New Roman" w:cs="Times New Roman"/>
                <w:noProof/>
                <w:webHidden/>
                <w:sz w:val="24"/>
                <w:szCs w:val="24"/>
              </w:rPr>
              <w:tab/>
            </w:r>
            <w:r w:rsidR="00D2078B" w:rsidRPr="00D2078B">
              <w:rPr>
                <w:rFonts w:ascii="Times New Roman" w:hAnsi="Times New Roman" w:cs="Times New Roman"/>
                <w:noProof/>
                <w:webHidden/>
                <w:sz w:val="24"/>
                <w:szCs w:val="24"/>
              </w:rPr>
              <w:fldChar w:fldCharType="begin"/>
            </w:r>
            <w:r w:rsidR="00D2078B" w:rsidRPr="00D2078B">
              <w:rPr>
                <w:rFonts w:ascii="Times New Roman" w:hAnsi="Times New Roman" w:cs="Times New Roman"/>
                <w:noProof/>
                <w:webHidden/>
                <w:sz w:val="24"/>
                <w:szCs w:val="24"/>
              </w:rPr>
              <w:instrText xml:space="preserve"> PAGEREF _Toc202389895 \h </w:instrText>
            </w:r>
            <w:r w:rsidR="00D2078B" w:rsidRPr="00D2078B">
              <w:rPr>
                <w:rFonts w:ascii="Times New Roman" w:hAnsi="Times New Roman" w:cs="Times New Roman"/>
                <w:noProof/>
                <w:webHidden/>
                <w:sz w:val="24"/>
                <w:szCs w:val="24"/>
              </w:rPr>
            </w:r>
            <w:r w:rsidR="00D2078B" w:rsidRPr="00D2078B">
              <w:rPr>
                <w:rFonts w:ascii="Times New Roman" w:hAnsi="Times New Roman" w:cs="Times New Roman"/>
                <w:noProof/>
                <w:webHidden/>
                <w:sz w:val="24"/>
                <w:szCs w:val="24"/>
              </w:rPr>
              <w:fldChar w:fldCharType="separate"/>
            </w:r>
            <w:r w:rsidR="00D2078B" w:rsidRPr="00D2078B">
              <w:rPr>
                <w:rFonts w:ascii="Times New Roman" w:hAnsi="Times New Roman" w:cs="Times New Roman"/>
                <w:noProof/>
                <w:webHidden/>
                <w:sz w:val="24"/>
                <w:szCs w:val="24"/>
              </w:rPr>
              <w:t>4</w:t>
            </w:r>
            <w:r w:rsidR="00D2078B" w:rsidRPr="00D2078B">
              <w:rPr>
                <w:rFonts w:ascii="Times New Roman" w:hAnsi="Times New Roman" w:cs="Times New Roman"/>
                <w:noProof/>
                <w:webHidden/>
                <w:sz w:val="24"/>
                <w:szCs w:val="24"/>
              </w:rPr>
              <w:fldChar w:fldCharType="end"/>
            </w:r>
          </w:hyperlink>
        </w:p>
        <w:p w14:paraId="708E7C45" w14:textId="27342A1A" w:rsidR="00D2078B" w:rsidRPr="00D2078B" w:rsidRDefault="00557496" w:rsidP="00D2078B">
          <w:pPr>
            <w:pStyle w:val="TDC1"/>
            <w:tabs>
              <w:tab w:val="right" w:leader="dot" w:pos="9350"/>
            </w:tabs>
            <w:spacing w:line="480" w:lineRule="auto"/>
            <w:rPr>
              <w:rFonts w:ascii="Times New Roman" w:eastAsiaTheme="minorEastAsia" w:hAnsi="Times New Roman" w:cs="Times New Roman"/>
              <w:noProof/>
              <w:kern w:val="0"/>
              <w:sz w:val="24"/>
              <w:szCs w:val="24"/>
              <w14:ligatures w14:val="none"/>
            </w:rPr>
          </w:pPr>
          <w:hyperlink w:anchor="_Toc202389896" w:history="1">
            <w:r w:rsidR="00D2078B" w:rsidRPr="00D2078B">
              <w:rPr>
                <w:rStyle w:val="Hipervnculo"/>
                <w:rFonts w:ascii="Times New Roman" w:hAnsi="Times New Roman" w:cs="Times New Roman"/>
                <w:noProof/>
                <w:sz w:val="24"/>
                <w:szCs w:val="24"/>
                <w:lang w:val="es-CO"/>
              </w:rPr>
              <w:t>Referencias Bibliográficas</w:t>
            </w:r>
            <w:r w:rsidR="00D2078B" w:rsidRPr="00D2078B">
              <w:rPr>
                <w:rFonts w:ascii="Times New Roman" w:hAnsi="Times New Roman" w:cs="Times New Roman"/>
                <w:noProof/>
                <w:webHidden/>
                <w:sz w:val="24"/>
                <w:szCs w:val="24"/>
              </w:rPr>
              <w:tab/>
            </w:r>
            <w:r w:rsidR="00D2078B" w:rsidRPr="00D2078B">
              <w:rPr>
                <w:rFonts w:ascii="Times New Roman" w:hAnsi="Times New Roman" w:cs="Times New Roman"/>
                <w:noProof/>
                <w:webHidden/>
                <w:sz w:val="24"/>
                <w:szCs w:val="24"/>
              </w:rPr>
              <w:fldChar w:fldCharType="begin"/>
            </w:r>
            <w:r w:rsidR="00D2078B" w:rsidRPr="00D2078B">
              <w:rPr>
                <w:rFonts w:ascii="Times New Roman" w:hAnsi="Times New Roman" w:cs="Times New Roman"/>
                <w:noProof/>
                <w:webHidden/>
                <w:sz w:val="24"/>
                <w:szCs w:val="24"/>
              </w:rPr>
              <w:instrText xml:space="preserve"> PAGEREF _Toc202389896 \h </w:instrText>
            </w:r>
            <w:r w:rsidR="00D2078B" w:rsidRPr="00D2078B">
              <w:rPr>
                <w:rFonts w:ascii="Times New Roman" w:hAnsi="Times New Roman" w:cs="Times New Roman"/>
                <w:noProof/>
                <w:webHidden/>
                <w:sz w:val="24"/>
                <w:szCs w:val="24"/>
              </w:rPr>
            </w:r>
            <w:r w:rsidR="00D2078B" w:rsidRPr="00D2078B">
              <w:rPr>
                <w:rFonts w:ascii="Times New Roman" w:hAnsi="Times New Roman" w:cs="Times New Roman"/>
                <w:noProof/>
                <w:webHidden/>
                <w:sz w:val="24"/>
                <w:szCs w:val="24"/>
              </w:rPr>
              <w:fldChar w:fldCharType="separate"/>
            </w:r>
            <w:r w:rsidR="00D2078B" w:rsidRPr="00D2078B">
              <w:rPr>
                <w:rFonts w:ascii="Times New Roman" w:hAnsi="Times New Roman" w:cs="Times New Roman"/>
                <w:noProof/>
                <w:webHidden/>
                <w:sz w:val="24"/>
                <w:szCs w:val="24"/>
              </w:rPr>
              <w:t>5</w:t>
            </w:r>
            <w:r w:rsidR="00D2078B" w:rsidRPr="00D2078B">
              <w:rPr>
                <w:rFonts w:ascii="Times New Roman" w:hAnsi="Times New Roman" w:cs="Times New Roman"/>
                <w:noProof/>
                <w:webHidden/>
                <w:sz w:val="24"/>
                <w:szCs w:val="24"/>
              </w:rPr>
              <w:fldChar w:fldCharType="end"/>
            </w:r>
          </w:hyperlink>
        </w:p>
        <w:p w14:paraId="5F788F4F" w14:textId="254262F9" w:rsidR="000A635E" w:rsidRDefault="000A635E" w:rsidP="00D2078B">
          <w:pPr>
            <w:spacing w:line="480" w:lineRule="auto"/>
          </w:pPr>
          <w:r w:rsidRPr="00D2078B">
            <w:rPr>
              <w:rFonts w:ascii="Times New Roman" w:hAnsi="Times New Roman" w:cs="Times New Roman"/>
              <w:sz w:val="24"/>
              <w:szCs w:val="24"/>
              <w:lang w:val="es-ES"/>
            </w:rPr>
            <w:fldChar w:fldCharType="end"/>
          </w:r>
        </w:p>
      </w:sdtContent>
    </w:sdt>
    <w:p w14:paraId="620F69BF" w14:textId="407734AB" w:rsidR="005A40F5" w:rsidRPr="005A40F5" w:rsidRDefault="005A40F5" w:rsidP="002A50D7">
      <w:pPr>
        <w:pStyle w:val="Ttulo1"/>
        <w:numPr>
          <w:ilvl w:val="0"/>
          <w:numId w:val="10"/>
        </w:numPr>
        <w:rPr>
          <w:b/>
          <w:bCs/>
          <w:lang w:val="es-CO"/>
        </w:rPr>
      </w:pPr>
      <w:bookmarkStart w:id="0" w:name="_Toc202389891"/>
      <w:r w:rsidRPr="005A40F5">
        <w:rPr>
          <w:b/>
          <w:bCs/>
          <w:lang w:val="es-CO"/>
        </w:rPr>
        <w:t>Tipo y enfoque del estudio</w:t>
      </w:r>
      <w:bookmarkEnd w:id="0"/>
    </w:p>
    <w:p w14:paraId="04D9F360" w14:textId="77777777" w:rsidR="005A40F5" w:rsidRPr="005A40F5" w:rsidRDefault="005A40F5" w:rsidP="005A40F5">
      <w:pPr>
        <w:rPr>
          <w:lang w:val="es-CO"/>
        </w:rPr>
      </w:pPr>
    </w:p>
    <w:p w14:paraId="70F4F29D" w14:textId="7192E15E" w:rsidR="00D86D37" w:rsidRPr="000A635E" w:rsidRDefault="000A635E" w:rsidP="00D86D37">
      <w:pPr>
        <w:spacing w:line="480" w:lineRule="auto"/>
        <w:ind w:firstLine="720"/>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 xml:space="preserve">Este estudio adopta un enfoque cualitativo-descriptivo con base en un diseño flexible y exploratorio. El tipo de estudio se alinea con lo que </w:t>
      </w:r>
      <w:proofErr w:type="spellStart"/>
      <w:r w:rsidRPr="000A635E">
        <w:rPr>
          <w:rFonts w:ascii="Times New Roman" w:hAnsi="Times New Roman" w:cs="Times New Roman"/>
          <w:sz w:val="24"/>
          <w:szCs w:val="24"/>
          <w:lang w:val="es-CO"/>
        </w:rPr>
        <w:t>Flick</w:t>
      </w:r>
      <w:proofErr w:type="spellEnd"/>
      <w:r w:rsidRPr="000A635E">
        <w:rPr>
          <w:rFonts w:ascii="Times New Roman" w:hAnsi="Times New Roman" w:cs="Times New Roman"/>
          <w:sz w:val="24"/>
          <w:szCs w:val="24"/>
          <w:lang w:val="es-CO"/>
        </w:rPr>
        <w:t xml:space="preserve"> (2015) define como una investigación aplicada orientada a comprender procesos sociales complejos, como lo es la transferencia tecnológica, en contextos específicos. </w:t>
      </w:r>
      <w:r>
        <w:rPr>
          <w:rFonts w:ascii="Times New Roman" w:hAnsi="Times New Roman" w:cs="Times New Roman"/>
          <w:sz w:val="24"/>
          <w:szCs w:val="24"/>
          <w:lang w:val="es-CO"/>
        </w:rPr>
        <w:t>Asimismo, s</w:t>
      </w:r>
      <w:r w:rsidRPr="000A635E">
        <w:rPr>
          <w:rFonts w:ascii="Times New Roman" w:hAnsi="Times New Roman" w:cs="Times New Roman"/>
          <w:sz w:val="24"/>
          <w:szCs w:val="24"/>
          <w:lang w:val="es-CO"/>
        </w:rPr>
        <w:t>egún Hernández-Sampieri, Fernández-Collado y Baptista (2014), este tipo de enfoque busca describir fenómenos en profundidad a través de métodos interpretativos que permitan dar cuenta de realidades institucionales y territoriales.</w:t>
      </w:r>
      <w:r w:rsidR="00D86D37">
        <w:rPr>
          <w:rFonts w:ascii="Times New Roman" w:hAnsi="Times New Roman" w:cs="Times New Roman"/>
          <w:sz w:val="24"/>
          <w:szCs w:val="24"/>
          <w:lang w:val="es-CO"/>
        </w:rPr>
        <w:t xml:space="preserve"> </w:t>
      </w:r>
    </w:p>
    <w:p w14:paraId="34768441" w14:textId="000C5A8A" w:rsidR="000A635E" w:rsidRPr="000A635E" w:rsidRDefault="000A635E" w:rsidP="000A635E">
      <w:pPr>
        <w:spacing w:line="480" w:lineRule="auto"/>
        <w:ind w:firstLine="720"/>
        <w:jc w:val="both"/>
        <w:rPr>
          <w:rFonts w:ascii="Times New Roman" w:hAnsi="Times New Roman" w:cs="Times New Roman"/>
          <w:sz w:val="24"/>
          <w:szCs w:val="24"/>
          <w:lang w:val="es-CO"/>
        </w:rPr>
      </w:pPr>
    </w:p>
    <w:p w14:paraId="41BC7A98" w14:textId="77777777" w:rsidR="000A635E" w:rsidRPr="000A635E" w:rsidRDefault="000A635E" w:rsidP="000A635E">
      <w:pPr>
        <w:spacing w:line="480" w:lineRule="auto"/>
        <w:ind w:firstLine="720"/>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lastRenderedPageBreak/>
        <w:t>En consecuencia, el estudio busca caracterizar el proceso de transferencia tecnológica en el sector salud del departamento de Santander mediante el uso de herramientas cualitativas que combinan revisión documental, análisis comparativo y entrevistas a actores clave. La metodología se estructura en cuatro fases secuenciales e interrelacionadas:</w:t>
      </w:r>
    </w:p>
    <w:p w14:paraId="3E5ED379" w14:textId="5190FE14" w:rsidR="005A40F5" w:rsidRPr="005A40F5" w:rsidRDefault="005A40F5" w:rsidP="00D2078B">
      <w:pPr>
        <w:pStyle w:val="Ttulo1"/>
        <w:numPr>
          <w:ilvl w:val="0"/>
          <w:numId w:val="10"/>
        </w:numPr>
        <w:rPr>
          <w:b/>
          <w:bCs/>
          <w:lang w:val="es-CO"/>
        </w:rPr>
      </w:pPr>
      <w:bookmarkStart w:id="1" w:name="_Toc202389892"/>
      <w:r w:rsidRPr="005A40F5">
        <w:rPr>
          <w:b/>
          <w:bCs/>
          <w:lang w:val="es-CO"/>
        </w:rPr>
        <w:t>Identificación de etapas y elementos del proceso de TT</w:t>
      </w:r>
      <w:bookmarkEnd w:id="1"/>
    </w:p>
    <w:p w14:paraId="4C1267E4" w14:textId="77777777" w:rsidR="005A40F5" w:rsidRPr="005A40F5" w:rsidRDefault="005A40F5" w:rsidP="005A40F5">
      <w:pPr>
        <w:rPr>
          <w:lang w:val="es-CO"/>
        </w:rPr>
      </w:pPr>
    </w:p>
    <w:p w14:paraId="56E3A63E" w14:textId="22D55ADC" w:rsidR="005A40F5" w:rsidRPr="005A40F5" w:rsidRDefault="005A40F5" w:rsidP="005A40F5">
      <w:pPr>
        <w:spacing w:line="48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En esta fase se identificaron las etapas estructurales del proceso de TT a partir de la revisión de modelos propuestos por entidades de referencia internacional y nacional que han definido esquemas operativos en transferencia tecnológica, entre ellas:</w:t>
      </w:r>
    </w:p>
    <w:p w14:paraId="766D77D4" w14:textId="6F92734A" w:rsidR="005A40F5" w:rsidRPr="000A635E" w:rsidRDefault="005A40F5" w:rsidP="000A635E">
      <w:pPr>
        <w:pStyle w:val="Prrafodelista"/>
        <w:numPr>
          <w:ilvl w:val="0"/>
          <w:numId w:val="9"/>
        </w:numPr>
        <w:spacing w:line="480" w:lineRule="auto"/>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 xml:space="preserve">Organización Mundial de la Propiedad Intelectual (OMPI, 2021): propone un modelo secuencial con seis fases: identificación, protección de PI, desarrollo, estrategia comercial, negociación de acuerdos y evaluación de impacto. </w:t>
      </w:r>
    </w:p>
    <w:p w14:paraId="609B0204" w14:textId="07B416A5" w:rsidR="005A40F5" w:rsidRPr="000A635E" w:rsidRDefault="005A40F5" w:rsidP="000A635E">
      <w:pPr>
        <w:pStyle w:val="Prrafodelista"/>
        <w:numPr>
          <w:ilvl w:val="0"/>
          <w:numId w:val="9"/>
        </w:numPr>
        <w:spacing w:line="480" w:lineRule="auto"/>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Organización Mundial de la Salud (OMS, 2014): estructura procesos enfocados en tecnologías sanitarias, considerando etapas de descubrimiento, evaluación técnica, validación clínica, licenciamiento y monitoreo.</w:t>
      </w:r>
    </w:p>
    <w:p w14:paraId="35A932FD" w14:textId="6E0B761F" w:rsidR="005A40F5" w:rsidRPr="000A635E" w:rsidRDefault="005A40F5" w:rsidP="000A635E">
      <w:pPr>
        <w:pStyle w:val="Prrafodelista"/>
        <w:numPr>
          <w:ilvl w:val="0"/>
          <w:numId w:val="9"/>
        </w:numPr>
        <w:spacing w:line="480" w:lineRule="auto"/>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 xml:space="preserve">Organización Mundial del Comercio (OMC), OMPI y OMS (2022): a través de su informe conjunto, abordan los desafíos globales de la transferencia de tecnologías sanitarias, destacando la necesidad de cooperación multilateral. </w:t>
      </w:r>
    </w:p>
    <w:p w14:paraId="3715DE17" w14:textId="48BF790C" w:rsidR="005A40F5" w:rsidRPr="000A635E" w:rsidRDefault="005A40F5" w:rsidP="000A635E">
      <w:pPr>
        <w:pStyle w:val="Prrafodelista"/>
        <w:numPr>
          <w:ilvl w:val="0"/>
          <w:numId w:val="9"/>
        </w:numPr>
        <w:spacing w:line="480" w:lineRule="auto"/>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 xml:space="preserve">Comisión Económica para América Latina y el Caribe (CEPAL, 2024): en el evento realizado en Bogotá sobre transferencia tecnológica, se abordaron los marcos institucionales, financiamiento y articulación territorial como claves para el fortalecimiento de la TT en América Latina. </w:t>
      </w:r>
    </w:p>
    <w:p w14:paraId="5CF5EB73" w14:textId="60CF2181" w:rsidR="005A40F5" w:rsidRPr="000A635E" w:rsidRDefault="005A40F5" w:rsidP="000A635E">
      <w:pPr>
        <w:pStyle w:val="Prrafodelista"/>
        <w:numPr>
          <w:ilvl w:val="0"/>
          <w:numId w:val="9"/>
        </w:numPr>
        <w:spacing w:line="480" w:lineRule="auto"/>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lastRenderedPageBreak/>
        <w:t xml:space="preserve">Organización para la Cooperación y el Desarrollo Económicos (OCDE, 2019): analiza la evolución de las universidades como centros de transferencia, señalando buenas prácticas y marcos por etapas. </w:t>
      </w:r>
    </w:p>
    <w:p w14:paraId="61568579" w14:textId="054538E5" w:rsidR="005A40F5" w:rsidRPr="000A635E" w:rsidRDefault="005A40F5" w:rsidP="000A635E">
      <w:pPr>
        <w:pStyle w:val="Prrafodelista"/>
        <w:numPr>
          <w:ilvl w:val="0"/>
          <w:numId w:val="9"/>
        </w:numPr>
        <w:spacing w:line="480" w:lineRule="auto"/>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 xml:space="preserve">Ministerio de Ciencia, Tecnología e Innovación de Colombia (Minciencias, 2022): a través de su Guía para la Transferencia de Tecnología, estructura un proceso adaptado al contexto colombiano con énfasis en madurez tecnológica (TRL), gestión PI, modelos de negocio y vinculación con actores productivos. </w:t>
      </w:r>
    </w:p>
    <w:p w14:paraId="4F4B65F9" w14:textId="77777777" w:rsidR="005A40F5" w:rsidRPr="005A40F5" w:rsidRDefault="005A40F5" w:rsidP="002936B9">
      <w:pPr>
        <w:spacing w:line="480" w:lineRule="auto"/>
        <w:ind w:firstLine="720"/>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Estas referencias sirvieron como base para la definición del proceso analizado en este estudio, manteniendo como eje común la visión de TT como un proceso estructurado, con fases secuenciales pero articuladas.</w:t>
      </w:r>
    </w:p>
    <w:p w14:paraId="1A93D455" w14:textId="4BA4534D" w:rsidR="005A40F5" w:rsidRPr="005A40F5" w:rsidRDefault="005A40F5" w:rsidP="002936B9">
      <w:pPr>
        <w:spacing w:line="480" w:lineRule="auto"/>
        <w:ind w:firstLine="720"/>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Esta fase permitió construir una base metodológica sólida, validada internacionalmente y contextualizada territorialmente, para estructurar el proceso de TT. Además, brindó el marco analítico que guía la caracterización, asegurando su aplicabilidad tanto en el sector salud como en otros sectores estratégicos del territorio.</w:t>
      </w:r>
    </w:p>
    <w:p w14:paraId="7126C07B" w14:textId="1CC1FE11" w:rsidR="005A40F5" w:rsidRPr="005A40F5" w:rsidRDefault="005A40F5" w:rsidP="00D2078B">
      <w:pPr>
        <w:pStyle w:val="Ttulo1"/>
        <w:numPr>
          <w:ilvl w:val="0"/>
          <w:numId w:val="10"/>
        </w:numPr>
        <w:rPr>
          <w:b/>
          <w:bCs/>
          <w:lang w:val="es-CO"/>
        </w:rPr>
      </w:pPr>
      <w:bookmarkStart w:id="2" w:name="_Toc202389893"/>
      <w:r w:rsidRPr="005A40F5">
        <w:rPr>
          <w:b/>
          <w:bCs/>
          <w:lang w:val="es-CO"/>
        </w:rPr>
        <w:t>Revisión documental y diagnóstico territorial</w:t>
      </w:r>
      <w:bookmarkEnd w:id="2"/>
    </w:p>
    <w:p w14:paraId="593C80B4" w14:textId="77777777" w:rsidR="005A40F5" w:rsidRPr="005A40F5" w:rsidRDefault="005A40F5" w:rsidP="005A40F5">
      <w:pPr>
        <w:rPr>
          <w:lang w:val="es-CO"/>
        </w:rPr>
      </w:pPr>
    </w:p>
    <w:p w14:paraId="7B4EC139" w14:textId="4E492BC3" w:rsidR="005A40F5" w:rsidRPr="005A40F5" w:rsidRDefault="005A40F5" w:rsidP="005A40F5">
      <w:pPr>
        <w:spacing w:line="48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A partir del proceso estructurado, se desarrolló una revisión documental sistemática que incluyó:</w:t>
      </w:r>
    </w:p>
    <w:p w14:paraId="1757AE6E" w14:textId="77777777" w:rsidR="005A40F5" w:rsidRPr="005A40F5" w:rsidRDefault="005A40F5" w:rsidP="00C419DF">
      <w:pPr>
        <w:pStyle w:val="Prrafodelista"/>
        <w:numPr>
          <w:ilvl w:val="0"/>
          <w:numId w:val="6"/>
        </w:numPr>
        <w:spacing w:line="36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Fuentes normativas (nacionales, sectoriales y regionales).</w:t>
      </w:r>
    </w:p>
    <w:p w14:paraId="19CB7C38" w14:textId="77777777" w:rsidR="005A40F5" w:rsidRPr="005A40F5" w:rsidRDefault="005A40F5" w:rsidP="00C419DF">
      <w:pPr>
        <w:pStyle w:val="Prrafodelista"/>
        <w:numPr>
          <w:ilvl w:val="0"/>
          <w:numId w:val="6"/>
        </w:numPr>
        <w:spacing w:line="36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Documentos técnicos e informes de gestión sobre actividades de CTI en salud.</w:t>
      </w:r>
    </w:p>
    <w:p w14:paraId="2E69240C" w14:textId="77777777" w:rsidR="005A40F5" w:rsidRPr="005A40F5" w:rsidRDefault="005A40F5" w:rsidP="00C419DF">
      <w:pPr>
        <w:pStyle w:val="Prrafodelista"/>
        <w:numPr>
          <w:ilvl w:val="0"/>
          <w:numId w:val="6"/>
        </w:numPr>
        <w:spacing w:line="36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Información territorial del Mapa de Inversiones Públicas y repositorios de actores clave (universidades, hospitales, cámaras de comercio, observatorios CTI).</w:t>
      </w:r>
    </w:p>
    <w:p w14:paraId="0454F46F" w14:textId="348B6DA7" w:rsidR="005A40F5" w:rsidRDefault="005A40F5" w:rsidP="005A40F5">
      <w:pPr>
        <w:spacing w:line="48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Esta fase permitió realizar un diagnóstico del estado actual del ecosistema de TT en salud en el departamento de Santander, identificando fortalezas, vacíos y prácticas institucionalizadas.</w:t>
      </w:r>
    </w:p>
    <w:p w14:paraId="78A91FBA" w14:textId="69F48F4C" w:rsidR="005A40F5" w:rsidRPr="005A40F5" w:rsidRDefault="005A40F5" w:rsidP="00D2078B">
      <w:pPr>
        <w:pStyle w:val="Ttulo1"/>
        <w:numPr>
          <w:ilvl w:val="0"/>
          <w:numId w:val="10"/>
        </w:numPr>
        <w:rPr>
          <w:b/>
          <w:bCs/>
          <w:lang w:val="es-CO"/>
        </w:rPr>
      </w:pPr>
      <w:bookmarkStart w:id="3" w:name="_Toc202389894"/>
      <w:r w:rsidRPr="005A40F5">
        <w:rPr>
          <w:b/>
          <w:bCs/>
          <w:lang w:val="es-CO"/>
        </w:rPr>
        <w:lastRenderedPageBreak/>
        <w:t>Trabajo de campo con actores clave</w:t>
      </w:r>
      <w:bookmarkEnd w:id="3"/>
    </w:p>
    <w:p w14:paraId="662A461A" w14:textId="77777777" w:rsidR="005A40F5" w:rsidRPr="005A40F5" w:rsidRDefault="005A40F5" w:rsidP="005A40F5">
      <w:pPr>
        <w:rPr>
          <w:lang w:val="es-CO"/>
        </w:rPr>
      </w:pPr>
    </w:p>
    <w:p w14:paraId="5562B6D6" w14:textId="119384A6" w:rsidR="000A635E" w:rsidRPr="000A635E" w:rsidRDefault="000A635E" w:rsidP="000A635E">
      <w:pPr>
        <w:spacing w:line="480" w:lineRule="auto"/>
        <w:ind w:firstLine="720"/>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Para esta fase se diseñó una metodología de</w:t>
      </w:r>
      <w:r w:rsidR="006175C7">
        <w:rPr>
          <w:rFonts w:ascii="Times New Roman" w:hAnsi="Times New Roman" w:cs="Times New Roman"/>
          <w:sz w:val="24"/>
          <w:szCs w:val="24"/>
          <w:lang w:val="es-CO"/>
        </w:rPr>
        <w:t xml:space="preserve"> tipo</w:t>
      </w:r>
      <w:r w:rsidRPr="000A635E">
        <w:rPr>
          <w:rFonts w:ascii="Times New Roman" w:hAnsi="Times New Roman" w:cs="Times New Roman"/>
          <w:sz w:val="24"/>
          <w:szCs w:val="24"/>
          <w:lang w:val="es-CO"/>
        </w:rPr>
        <w:t xml:space="preserve"> cualitativ</w:t>
      </w:r>
      <w:r w:rsidR="006175C7">
        <w:rPr>
          <w:rFonts w:ascii="Times New Roman" w:hAnsi="Times New Roman" w:cs="Times New Roman"/>
          <w:sz w:val="24"/>
          <w:szCs w:val="24"/>
          <w:lang w:val="es-CO"/>
        </w:rPr>
        <w:t>a</w:t>
      </w:r>
      <w:r>
        <w:rPr>
          <w:rFonts w:ascii="Times New Roman" w:hAnsi="Times New Roman" w:cs="Times New Roman"/>
          <w:sz w:val="24"/>
          <w:szCs w:val="24"/>
          <w:lang w:val="es-CO"/>
        </w:rPr>
        <w:t xml:space="preserve"> </w:t>
      </w:r>
      <w:r w:rsidRPr="000A635E">
        <w:rPr>
          <w:rFonts w:ascii="Times New Roman" w:hAnsi="Times New Roman" w:cs="Times New Roman"/>
          <w:sz w:val="24"/>
          <w:szCs w:val="24"/>
          <w:lang w:val="es-CO"/>
        </w:rPr>
        <w:t>basada en entrevistas semiestructuradas, orientadas a validar la estructura del proceso de transferencia tecnológica identificada en la literatura, así como a recoger experiencias y percepciones territoriales. Las entrevistas se guiaron por un conjunto de preguntas orientadoras previamente definidas y avaladas por el Comité de Ética en Investigación CEINCI de la Universidad.</w:t>
      </w:r>
    </w:p>
    <w:p w14:paraId="470D12B9" w14:textId="03C3843B" w:rsidR="000A635E" w:rsidRPr="000A635E" w:rsidRDefault="000A635E" w:rsidP="000A635E">
      <w:pPr>
        <w:spacing w:line="480" w:lineRule="auto"/>
        <w:ind w:firstLine="720"/>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La selección de los seis participantes se realizó mediante un muestreo por criterios, considerando su experiencia y vinculación directa con procesos de transferencia tecnológica en el sector salud, así como su disponibilidad y conocimiento institucional del ecosistema regional. Se incluyeron representantes de universidades, entidades públicas y actores intermedios.</w:t>
      </w:r>
      <w:r w:rsidR="00222B21">
        <w:rPr>
          <w:rFonts w:ascii="Times New Roman" w:hAnsi="Times New Roman" w:cs="Times New Roman"/>
          <w:sz w:val="24"/>
          <w:szCs w:val="24"/>
          <w:lang w:val="es-CO"/>
        </w:rPr>
        <w:t xml:space="preserve"> E</w:t>
      </w:r>
      <w:r w:rsidR="009155B9">
        <w:rPr>
          <w:rFonts w:ascii="Times New Roman" w:hAnsi="Times New Roman" w:cs="Times New Roman"/>
          <w:sz w:val="24"/>
          <w:szCs w:val="24"/>
          <w:lang w:val="es-CO"/>
        </w:rPr>
        <w:t>n el Apéndice I, donde se describen las entrevistas realizadas, también se profundiza en el perfil de los actores entrevistados o la relevancia de su rol para el objeto del estudio.</w:t>
      </w:r>
    </w:p>
    <w:p w14:paraId="092DCBFD" w14:textId="77777777" w:rsidR="000A635E" w:rsidRPr="000A635E" w:rsidRDefault="000A635E" w:rsidP="000A635E">
      <w:pPr>
        <w:spacing w:line="480" w:lineRule="auto"/>
        <w:ind w:firstLine="720"/>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 xml:space="preserve">Para el desarrollo de esta fase se siguió el enfoque metodológico propuesto por Hernández-Sampieri et al. (2014) y </w:t>
      </w:r>
      <w:proofErr w:type="spellStart"/>
      <w:r w:rsidRPr="000A635E">
        <w:rPr>
          <w:rFonts w:ascii="Times New Roman" w:hAnsi="Times New Roman" w:cs="Times New Roman"/>
          <w:sz w:val="24"/>
          <w:szCs w:val="24"/>
          <w:lang w:val="es-CO"/>
        </w:rPr>
        <w:t>Flick</w:t>
      </w:r>
      <w:proofErr w:type="spellEnd"/>
      <w:r w:rsidRPr="000A635E">
        <w:rPr>
          <w:rFonts w:ascii="Times New Roman" w:hAnsi="Times New Roman" w:cs="Times New Roman"/>
          <w:sz w:val="24"/>
          <w:szCs w:val="24"/>
          <w:lang w:val="es-CO"/>
        </w:rPr>
        <w:t xml:space="preserve"> (2015), quienes resaltan el uso de entrevistas semiestructuradas como herramienta clave para la recolección de datos cualitativos en estudios aplicados. Se utilizó codificación abierta para el análisis, entendida como un proceso sistemático de segmentación, comparación y categorización de los datos con el fin de identificar patrones conceptuales emergentes sin una estructura predefinida (Strauss &amp; </w:t>
      </w:r>
      <w:proofErr w:type="spellStart"/>
      <w:r w:rsidRPr="000A635E">
        <w:rPr>
          <w:rFonts w:ascii="Times New Roman" w:hAnsi="Times New Roman" w:cs="Times New Roman"/>
          <w:sz w:val="24"/>
          <w:szCs w:val="24"/>
          <w:lang w:val="es-CO"/>
        </w:rPr>
        <w:t>Corbin</w:t>
      </w:r>
      <w:proofErr w:type="spellEnd"/>
      <w:r w:rsidRPr="000A635E">
        <w:rPr>
          <w:rFonts w:ascii="Times New Roman" w:hAnsi="Times New Roman" w:cs="Times New Roman"/>
          <w:sz w:val="24"/>
          <w:szCs w:val="24"/>
          <w:lang w:val="es-CO"/>
        </w:rPr>
        <w:t>, 2002). Este enfoque permitió revelar significados subyacentes a partir del discurso de los actores entrevistados, y fue esencial para construir una comprensión inductiva del fenómeno de estudio en el contexto territorial.</w:t>
      </w:r>
    </w:p>
    <w:p w14:paraId="6B79856E" w14:textId="7A95F5BF" w:rsidR="000A635E" w:rsidRPr="00715F72" w:rsidRDefault="000A635E" w:rsidP="000A635E">
      <w:pPr>
        <w:spacing w:line="480" w:lineRule="auto"/>
        <w:ind w:firstLine="720"/>
        <w:jc w:val="both"/>
        <w:rPr>
          <w:rFonts w:ascii="Times New Roman" w:hAnsi="Times New Roman" w:cs="Times New Roman"/>
          <w:sz w:val="24"/>
          <w:szCs w:val="24"/>
          <w:lang w:val="es-CO"/>
        </w:rPr>
      </w:pPr>
      <w:r w:rsidRPr="000A635E">
        <w:rPr>
          <w:rFonts w:ascii="Times New Roman" w:hAnsi="Times New Roman" w:cs="Times New Roman"/>
          <w:sz w:val="24"/>
          <w:szCs w:val="24"/>
          <w:lang w:val="es-CO"/>
        </w:rPr>
        <w:t>Permitió contrastar la teoría con la práctica local, visibilizando barreras, oportunidades y niveles reales de articulación entre actore</w:t>
      </w:r>
      <w:r w:rsidRPr="00715F72">
        <w:rPr>
          <w:rFonts w:ascii="Times New Roman" w:hAnsi="Times New Roman" w:cs="Times New Roman"/>
          <w:sz w:val="24"/>
          <w:szCs w:val="24"/>
          <w:lang w:val="es-CO"/>
        </w:rPr>
        <w:t>s.</w:t>
      </w:r>
    </w:p>
    <w:p w14:paraId="5D1F37D8" w14:textId="4083F0A2" w:rsidR="005A40F5" w:rsidRPr="005A40F5" w:rsidRDefault="005A40F5" w:rsidP="00D2078B">
      <w:pPr>
        <w:pStyle w:val="Ttulo1"/>
        <w:numPr>
          <w:ilvl w:val="0"/>
          <w:numId w:val="10"/>
        </w:numPr>
        <w:rPr>
          <w:b/>
          <w:bCs/>
          <w:lang w:val="es-CO"/>
        </w:rPr>
      </w:pPr>
      <w:bookmarkStart w:id="4" w:name="_Toc202389895"/>
      <w:r w:rsidRPr="005A40F5">
        <w:rPr>
          <w:b/>
          <w:bCs/>
          <w:lang w:val="es-CO"/>
        </w:rPr>
        <w:lastRenderedPageBreak/>
        <w:t>Análisis comparativo e integración de hallazgos</w:t>
      </w:r>
      <w:bookmarkEnd w:id="4"/>
    </w:p>
    <w:p w14:paraId="77ACF019" w14:textId="77777777" w:rsidR="005A40F5" w:rsidRPr="005A40F5" w:rsidRDefault="005A40F5" w:rsidP="005A40F5">
      <w:pPr>
        <w:rPr>
          <w:lang w:val="es-CO"/>
        </w:rPr>
      </w:pPr>
    </w:p>
    <w:p w14:paraId="11AE3483" w14:textId="21C816DE" w:rsidR="005A40F5" w:rsidRPr="005A40F5" w:rsidRDefault="005A40F5" w:rsidP="005A40F5">
      <w:pPr>
        <w:spacing w:line="48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Se realizó un análisis cruzado entre los referentes documentales y los resultados del trabajo de campo, con el objetivo de:</w:t>
      </w:r>
    </w:p>
    <w:p w14:paraId="63212D4D" w14:textId="77777777" w:rsidR="005A40F5" w:rsidRPr="005A40F5" w:rsidRDefault="005A40F5" w:rsidP="005A40F5">
      <w:pPr>
        <w:pStyle w:val="Prrafodelista"/>
        <w:numPr>
          <w:ilvl w:val="0"/>
          <w:numId w:val="8"/>
        </w:numPr>
        <w:spacing w:line="48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Identificar convergencias y divergencias.</w:t>
      </w:r>
    </w:p>
    <w:p w14:paraId="0AD3C728" w14:textId="77777777" w:rsidR="005A40F5" w:rsidRPr="005A40F5" w:rsidRDefault="005A40F5" w:rsidP="005A40F5">
      <w:pPr>
        <w:pStyle w:val="Prrafodelista"/>
        <w:numPr>
          <w:ilvl w:val="0"/>
          <w:numId w:val="8"/>
        </w:numPr>
        <w:spacing w:line="48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Establecer factores críticos de éxito y cuellos de botella por etapa.</w:t>
      </w:r>
    </w:p>
    <w:p w14:paraId="798BF762" w14:textId="77777777" w:rsidR="005A40F5" w:rsidRPr="005A40F5" w:rsidRDefault="005A40F5" w:rsidP="005A40F5">
      <w:pPr>
        <w:pStyle w:val="Prrafodelista"/>
        <w:numPr>
          <w:ilvl w:val="0"/>
          <w:numId w:val="8"/>
        </w:numPr>
        <w:spacing w:line="480" w:lineRule="auto"/>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Proponer un esquema metodológico contextualizado para el sector salud de Santander.</w:t>
      </w:r>
    </w:p>
    <w:p w14:paraId="099E711A" w14:textId="3FE16D49" w:rsidR="005A40F5" w:rsidRPr="005A40F5" w:rsidRDefault="005A40F5" w:rsidP="006D4F97">
      <w:pPr>
        <w:spacing w:line="480" w:lineRule="auto"/>
        <w:ind w:firstLine="720"/>
        <w:jc w:val="both"/>
        <w:rPr>
          <w:rFonts w:ascii="Times New Roman" w:hAnsi="Times New Roman" w:cs="Times New Roman"/>
          <w:sz w:val="24"/>
          <w:szCs w:val="24"/>
          <w:lang w:val="es-CO"/>
        </w:rPr>
      </w:pPr>
      <w:r w:rsidRPr="005A40F5">
        <w:rPr>
          <w:rFonts w:ascii="Times New Roman" w:hAnsi="Times New Roman" w:cs="Times New Roman"/>
          <w:sz w:val="24"/>
          <w:szCs w:val="24"/>
          <w:lang w:val="es-CO"/>
        </w:rPr>
        <w:t>Esta fase integra el conocimiento científico con el conocimiento territorial, permitiendo formular una propuesta sólida, aplicable y validada localmente.</w:t>
      </w:r>
    </w:p>
    <w:p w14:paraId="4E1DA852" w14:textId="77777777" w:rsidR="006D4F97" w:rsidRPr="006D4F97" w:rsidRDefault="006D4F97" w:rsidP="006D4F97">
      <w:pPr>
        <w:spacing w:line="480" w:lineRule="auto"/>
        <w:ind w:firstLine="720"/>
        <w:jc w:val="both"/>
        <w:rPr>
          <w:rFonts w:ascii="Times New Roman" w:hAnsi="Times New Roman" w:cs="Times New Roman"/>
          <w:sz w:val="24"/>
          <w:szCs w:val="24"/>
          <w:lang w:val="es-CO"/>
        </w:rPr>
      </w:pPr>
      <w:r w:rsidRPr="006D4F97">
        <w:rPr>
          <w:rFonts w:ascii="Times New Roman" w:hAnsi="Times New Roman" w:cs="Times New Roman"/>
          <w:sz w:val="24"/>
          <w:szCs w:val="24"/>
          <w:lang w:val="es-CO"/>
        </w:rPr>
        <w:t>Como resultado del análisis desarrollado en la etapa de caracterización, se identificaron los principales componentes del proceso de gestión y formalización de acuerdos de transferencia tecnológica (TT) en el sector salud del departamento de Santander. Esta caracterización integra tanto los referentes conceptuales internacionales y nacionales como la experiencia territorial levantada a través de entrevistas a actores clave.</w:t>
      </w:r>
    </w:p>
    <w:p w14:paraId="1E65A7B9" w14:textId="508D2E34" w:rsidR="005A40F5" w:rsidRDefault="006D4F97" w:rsidP="006D4F97">
      <w:pPr>
        <w:spacing w:line="480" w:lineRule="auto"/>
        <w:ind w:firstLine="720"/>
        <w:jc w:val="both"/>
        <w:rPr>
          <w:rFonts w:ascii="Times New Roman" w:hAnsi="Times New Roman" w:cs="Times New Roman"/>
          <w:sz w:val="24"/>
          <w:szCs w:val="24"/>
          <w:lang w:val="es-CO"/>
        </w:rPr>
      </w:pPr>
      <w:r w:rsidRPr="006D4F97">
        <w:rPr>
          <w:rFonts w:ascii="Times New Roman" w:hAnsi="Times New Roman" w:cs="Times New Roman"/>
          <w:sz w:val="24"/>
          <w:szCs w:val="24"/>
          <w:lang w:val="es-CO"/>
        </w:rPr>
        <w:t xml:space="preserve">Dado el carácter </w:t>
      </w:r>
      <w:proofErr w:type="spellStart"/>
      <w:r w:rsidRPr="006D4F97">
        <w:rPr>
          <w:rFonts w:ascii="Times New Roman" w:hAnsi="Times New Roman" w:cs="Times New Roman"/>
          <w:sz w:val="24"/>
          <w:szCs w:val="24"/>
          <w:lang w:val="es-CO"/>
        </w:rPr>
        <w:t>multietápico</w:t>
      </w:r>
      <w:proofErr w:type="spellEnd"/>
      <w:r w:rsidRPr="006D4F97">
        <w:rPr>
          <w:rFonts w:ascii="Times New Roman" w:hAnsi="Times New Roman" w:cs="Times New Roman"/>
          <w:sz w:val="24"/>
          <w:szCs w:val="24"/>
          <w:lang w:val="es-CO"/>
        </w:rPr>
        <w:t xml:space="preserve"> y sistémico de la TT, se estructuró el proceso en cinco fases secuenciales que permiten describir su funcionamiento en términos operativos: desde la identificación de tecnologías hasta el seguimiento de los acuerdos. Para cada fase, se identificaron los insumos necesarios (entradas), las acciones centrales que se desarrollan (actividades) y los productos o resultados esperados (salidas). Esta desagregación facilita la comprensión del proceso, permite evidenciar los puntos críticos y constituye un insumo clave para el diseño de estrategias de mejora.</w:t>
      </w:r>
      <w:r w:rsidR="00C419DF">
        <w:rPr>
          <w:rFonts w:ascii="Times New Roman" w:hAnsi="Times New Roman" w:cs="Times New Roman"/>
          <w:sz w:val="24"/>
          <w:szCs w:val="24"/>
          <w:lang w:val="es-CO"/>
        </w:rPr>
        <w:t xml:space="preserve"> </w:t>
      </w:r>
      <w:r w:rsidRPr="006D4F97">
        <w:rPr>
          <w:rFonts w:ascii="Times New Roman" w:hAnsi="Times New Roman" w:cs="Times New Roman"/>
          <w:sz w:val="24"/>
          <w:szCs w:val="24"/>
          <w:lang w:val="es-CO"/>
        </w:rPr>
        <w:t>La siguiente tabla presenta de manera esquemática esta caracterización, adaptada específicamente al contexto del sector salud, con énfasis en las particularidades observadas en el ecosistema de Santander.</w:t>
      </w:r>
    </w:p>
    <w:p w14:paraId="59C317F5" w14:textId="77777777" w:rsidR="002C0E08" w:rsidRDefault="002C0E08" w:rsidP="005A40F5">
      <w:pPr>
        <w:spacing w:line="480" w:lineRule="auto"/>
        <w:jc w:val="both"/>
        <w:rPr>
          <w:rFonts w:ascii="Times New Roman" w:hAnsi="Times New Roman" w:cs="Times New Roman"/>
          <w:sz w:val="24"/>
          <w:szCs w:val="24"/>
          <w:lang w:val="es-CO"/>
        </w:rPr>
        <w:sectPr w:rsidR="002C0E08">
          <w:pgSz w:w="12240" w:h="15840"/>
          <w:pgMar w:top="1440" w:right="1440" w:bottom="1440" w:left="1440" w:header="708" w:footer="708" w:gutter="0"/>
          <w:cols w:space="708"/>
          <w:docGrid w:linePitch="360"/>
        </w:sectPr>
      </w:pPr>
    </w:p>
    <w:p w14:paraId="782F096F" w14:textId="1BB51307" w:rsidR="002F2DCD" w:rsidRPr="002F2DCD" w:rsidRDefault="002F2DCD" w:rsidP="002F2DCD">
      <w:pPr>
        <w:pStyle w:val="Descripcin"/>
        <w:keepNext/>
        <w:spacing w:line="360" w:lineRule="auto"/>
        <w:rPr>
          <w:rFonts w:ascii="Times New Roman" w:hAnsi="Times New Roman" w:cs="Times New Roman"/>
          <w:color w:val="auto"/>
          <w:sz w:val="24"/>
          <w:szCs w:val="24"/>
          <w:lang w:val="es-CO"/>
        </w:rPr>
      </w:pPr>
      <w:r w:rsidRPr="002F2DCD">
        <w:rPr>
          <w:rFonts w:ascii="Times New Roman" w:hAnsi="Times New Roman" w:cs="Times New Roman"/>
          <w:b/>
          <w:bCs/>
          <w:i w:val="0"/>
          <w:iCs w:val="0"/>
          <w:color w:val="auto"/>
          <w:sz w:val="24"/>
          <w:szCs w:val="24"/>
          <w:lang w:val="es-CO"/>
        </w:rPr>
        <w:lastRenderedPageBreak/>
        <w:t xml:space="preserve">Tabla </w:t>
      </w:r>
      <w:r w:rsidRPr="002F2DCD">
        <w:rPr>
          <w:rFonts w:ascii="Times New Roman" w:hAnsi="Times New Roman" w:cs="Times New Roman"/>
          <w:b/>
          <w:bCs/>
          <w:i w:val="0"/>
          <w:iCs w:val="0"/>
          <w:color w:val="auto"/>
          <w:sz w:val="24"/>
          <w:szCs w:val="24"/>
        </w:rPr>
        <w:fldChar w:fldCharType="begin"/>
      </w:r>
      <w:r w:rsidRPr="002F2DCD">
        <w:rPr>
          <w:rFonts w:ascii="Times New Roman" w:hAnsi="Times New Roman" w:cs="Times New Roman"/>
          <w:b/>
          <w:bCs/>
          <w:i w:val="0"/>
          <w:iCs w:val="0"/>
          <w:color w:val="auto"/>
          <w:sz w:val="24"/>
          <w:szCs w:val="24"/>
          <w:lang w:val="es-CO"/>
        </w:rPr>
        <w:instrText xml:space="preserve"> SEQ Tabla \* ARABIC </w:instrText>
      </w:r>
      <w:r w:rsidRPr="002F2DCD">
        <w:rPr>
          <w:rFonts w:ascii="Times New Roman" w:hAnsi="Times New Roman" w:cs="Times New Roman"/>
          <w:b/>
          <w:bCs/>
          <w:i w:val="0"/>
          <w:iCs w:val="0"/>
          <w:color w:val="auto"/>
          <w:sz w:val="24"/>
          <w:szCs w:val="24"/>
        </w:rPr>
        <w:fldChar w:fldCharType="separate"/>
      </w:r>
      <w:r w:rsidRPr="002F2DCD">
        <w:rPr>
          <w:rFonts w:ascii="Times New Roman" w:hAnsi="Times New Roman" w:cs="Times New Roman"/>
          <w:b/>
          <w:bCs/>
          <w:i w:val="0"/>
          <w:iCs w:val="0"/>
          <w:noProof/>
          <w:color w:val="auto"/>
          <w:sz w:val="24"/>
          <w:szCs w:val="24"/>
          <w:lang w:val="es-CO"/>
        </w:rPr>
        <w:t>1</w:t>
      </w:r>
      <w:r w:rsidRPr="002F2DCD">
        <w:rPr>
          <w:rFonts w:ascii="Times New Roman" w:hAnsi="Times New Roman" w:cs="Times New Roman"/>
          <w:b/>
          <w:bCs/>
          <w:i w:val="0"/>
          <w:iCs w:val="0"/>
          <w:color w:val="auto"/>
          <w:sz w:val="24"/>
          <w:szCs w:val="24"/>
        </w:rPr>
        <w:fldChar w:fldCharType="end"/>
      </w:r>
      <w:r w:rsidRPr="002F2DCD">
        <w:rPr>
          <w:rFonts w:ascii="Times New Roman" w:hAnsi="Times New Roman" w:cs="Times New Roman"/>
          <w:b/>
          <w:bCs/>
          <w:i w:val="0"/>
          <w:iCs w:val="0"/>
          <w:color w:val="auto"/>
          <w:sz w:val="24"/>
          <w:szCs w:val="24"/>
          <w:lang w:val="es-CO"/>
        </w:rPr>
        <w:t>.</w:t>
      </w:r>
      <w:r w:rsidRPr="002F2DCD">
        <w:rPr>
          <w:rFonts w:ascii="Times New Roman" w:hAnsi="Times New Roman" w:cs="Times New Roman"/>
          <w:color w:val="auto"/>
          <w:sz w:val="24"/>
          <w:szCs w:val="24"/>
          <w:lang w:val="es-CO"/>
        </w:rPr>
        <w:t xml:space="preserve"> </w:t>
      </w:r>
      <w:r w:rsidRPr="002F2DCD">
        <w:rPr>
          <w:rFonts w:ascii="Times New Roman" w:hAnsi="Times New Roman" w:cs="Times New Roman"/>
          <w:color w:val="auto"/>
          <w:sz w:val="24"/>
          <w:szCs w:val="24"/>
          <w:lang w:val="es-CO"/>
        </w:rPr>
        <w:br/>
        <w:t>Caracterización del proceso de gestión y formalización de acuerdos de TT en salud</w:t>
      </w:r>
    </w:p>
    <w:tbl>
      <w:tblPr>
        <w:tblStyle w:val="Tablanormal2"/>
        <w:tblW w:w="0" w:type="auto"/>
        <w:tblLook w:val="04A0" w:firstRow="1" w:lastRow="0" w:firstColumn="1" w:lastColumn="0" w:noHBand="0" w:noVBand="1"/>
      </w:tblPr>
      <w:tblGrid>
        <w:gridCol w:w="1720"/>
        <w:gridCol w:w="3672"/>
        <w:gridCol w:w="4387"/>
        <w:gridCol w:w="3181"/>
      </w:tblGrid>
      <w:tr w:rsidR="002C0E08" w:rsidRPr="002C0E08" w14:paraId="0C7C6E11" w14:textId="77777777" w:rsidTr="00943A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D0CECE" w:themeFill="background2" w:themeFillShade="E6"/>
            <w:hideMark/>
          </w:tcPr>
          <w:p w14:paraId="48D995E5" w14:textId="77777777" w:rsidR="002C0E08" w:rsidRPr="002C0E08" w:rsidRDefault="002C0E08" w:rsidP="002C0E08">
            <w:pPr>
              <w:jc w:val="center"/>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Fase del proceso</w:t>
            </w:r>
          </w:p>
        </w:tc>
        <w:tc>
          <w:tcPr>
            <w:tcW w:w="0" w:type="auto"/>
            <w:shd w:val="clear" w:color="auto" w:fill="D0CECE" w:themeFill="background2" w:themeFillShade="E6"/>
            <w:hideMark/>
          </w:tcPr>
          <w:p w14:paraId="5E583C98" w14:textId="77777777" w:rsidR="002C0E08" w:rsidRPr="002C0E08" w:rsidRDefault="002C0E08" w:rsidP="002C0E0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Entradas</w:t>
            </w:r>
          </w:p>
        </w:tc>
        <w:tc>
          <w:tcPr>
            <w:tcW w:w="0" w:type="auto"/>
            <w:shd w:val="clear" w:color="auto" w:fill="D0CECE" w:themeFill="background2" w:themeFillShade="E6"/>
            <w:hideMark/>
          </w:tcPr>
          <w:p w14:paraId="7A197B37" w14:textId="77777777" w:rsidR="002C0E08" w:rsidRPr="002C0E08" w:rsidRDefault="002C0E08" w:rsidP="002C0E0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Actividades</w:t>
            </w:r>
          </w:p>
        </w:tc>
        <w:tc>
          <w:tcPr>
            <w:tcW w:w="0" w:type="auto"/>
            <w:shd w:val="clear" w:color="auto" w:fill="D0CECE" w:themeFill="background2" w:themeFillShade="E6"/>
            <w:hideMark/>
          </w:tcPr>
          <w:p w14:paraId="3E98F1AE" w14:textId="77777777" w:rsidR="002C0E08" w:rsidRPr="002C0E08" w:rsidRDefault="002C0E08" w:rsidP="002C0E0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Salidas</w:t>
            </w:r>
          </w:p>
        </w:tc>
      </w:tr>
      <w:tr w:rsidR="002C0E08" w:rsidRPr="00557496" w14:paraId="5826AE15" w14:textId="77777777" w:rsidTr="00943A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972B17" w14:textId="77777777" w:rsidR="002C0E08" w:rsidRPr="002C0E08" w:rsidRDefault="002C0E08" w:rsidP="002C0E08">
            <w:pPr>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1. Identificación de tecnologías</w:t>
            </w:r>
          </w:p>
        </w:tc>
        <w:tc>
          <w:tcPr>
            <w:tcW w:w="0" w:type="auto"/>
            <w:hideMark/>
          </w:tcPr>
          <w:p w14:paraId="6E5CCB92" w14:textId="77777777" w:rsidR="002C0E08" w:rsidRPr="002C0E08" w:rsidRDefault="002C0E08" w:rsidP="002C0E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Resultados de investigación aplicados en salud- Necesidades clínicas no resueltas- Proyectos financiados con potencial de TT- Información sobre TRL (</w:t>
            </w:r>
            <w:proofErr w:type="spellStart"/>
            <w:r w:rsidRPr="002C0E08">
              <w:rPr>
                <w:rFonts w:ascii="Times New Roman" w:eastAsia="Times New Roman" w:hAnsi="Times New Roman" w:cs="Times New Roman"/>
                <w:kern w:val="0"/>
                <w:sz w:val="20"/>
                <w:szCs w:val="20"/>
                <w:lang w:val="es-CO"/>
                <w14:ligatures w14:val="none"/>
              </w:rPr>
              <w:t>Technology</w:t>
            </w:r>
            <w:proofErr w:type="spellEnd"/>
            <w:r w:rsidRPr="002C0E08">
              <w:rPr>
                <w:rFonts w:ascii="Times New Roman" w:eastAsia="Times New Roman" w:hAnsi="Times New Roman" w:cs="Times New Roman"/>
                <w:kern w:val="0"/>
                <w:sz w:val="20"/>
                <w:szCs w:val="20"/>
                <w:lang w:val="es-CO"/>
                <w14:ligatures w14:val="none"/>
              </w:rPr>
              <w:t xml:space="preserve"> </w:t>
            </w:r>
            <w:proofErr w:type="spellStart"/>
            <w:r w:rsidRPr="002C0E08">
              <w:rPr>
                <w:rFonts w:ascii="Times New Roman" w:eastAsia="Times New Roman" w:hAnsi="Times New Roman" w:cs="Times New Roman"/>
                <w:kern w:val="0"/>
                <w:sz w:val="20"/>
                <w:szCs w:val="20"/>
                <w:lang w:val="es-CO"/>
                <w14:ligatures w14:val="none"/>
              </w:rPr>
              <w:t>Readiness</w:t>
            </w:r>
            <w:proofErr w:type="spellEnd"/>
            <w:r w:rsidRPr="002C0E08">
              <w:rPr>
                <w:rFonts w:ascii="Times New Roman" w:eastAsia="Times New Roman" w:hAnsi="Times New Roman" w:cs="Times New Roman"/>
                <w:kern w:val="0"/>
                <w:sz w:val="20"/>
                <w:szCs w:val="20"/>
                <w:lang w:val="es-CO"/>
                <w14:ligatures w14:val="none"/>
              </w:rPr>
              <w:t xml:space="preserve"> </w:t>
            </w:r>
            <w:proofErr w:type="spellStart"/>
            <w:r w:rsidRPr="002C0E08">
              <w:rPr>
                <w:rFonts w:ascii="Times New Roman" w:eastAsia="Times New Roman" w:hAnsi="Times New Roman" w:cs="Times New Roman"/>
                <w:kern w:val="0"/>
                <w:sz w:val="20"/>
                <w:szCs w:val="20"/>
                <w:lang w:val="es-CO"/>
                <w14:ligatures w14:val="none"/>
              </w:rPr>
              <w:t>Level</w:t>
            </w:r>
            <w:proofErr w:type="spellEnd"/>
            <w:r w:rsidRPr="002C0E08">
              <w:rPr>
                <w:rFonts w:ascii="Times New Roman" w:eastAsia="Times New Roman" w:hAnsi="Times New Roman" w:cs="Times New Roman"/>
                <w:kern w:val="0"/>
                <w:sz w:val="20"/>
                <w:szCs w:val="20"/>
                <w:lang w:val="es-CO"/>
                <w14:ligatures w14:val="none"/>
              </w:rPr>
              <w:t>)- Vinculación con hospitales</w:t>
            </w:r>
          </w:p>
        </w:tc>
        <w:tc>
          <w:tcPr>
            <w:tcW w:w="0" w:type="auto"/>
            <w:hideMark/>
          </w:tcPr>
          <w:p w14:paraId="78FAA569" w14:textId="77777777" w:rsidR="002C0E08" w:rsidRPr="002C0E08" w:rsidRDefault="002C0E08" w:rsidP="002C0E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Mapeo de tecnologías con potencial de transferencia- Evaluación preliminar de viabilidad técnica y sanitaria- Revisión del estado de la PI (si aplica)- Contacto con posibles aliados del sector salud</w:t>
            </w:r>
          </w:p>
        </w:tc>
        <w:tc>
          <w:tcPr>
            <w:tcW w:w="0" w:type="auto"/>
            <w:hideMark/>
          </w:tcPr>
          <w:p w14:paraId="42A89346" w14:textId="77777777" w:rsidR="002C0E08" w:rsidRPr="002C0E08" w:rsidRDefault="002C0E08" w:rsidP="002C0E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Lista priorizada de tecnologías con potencial de transferencia- Hoja de ruta para validación- Fichas técnicas preliminares</w:t>
            </w:r>
          </w:p>
        </w:tc>
      </w:tr>
      <w:tr w:rsidR="002C0E08" w:rsidRPr="00557496" w14:paraId="2E925318" w14:textId="77777777" w:rsidTr="00943AEE">
        <w:tc>
          <w:tcPr>
            <w:cnfStyle w:val="001000000000" w:firstRow="0" w:lastRow="0" w:firstColumn="1" w:lastColumn="0" w:oddVBand="0" w:evenVBand="0" w:oddHBand="0" w:evenHBand="0" w:firstRowFirstColumn="0" w:firstRowLastColumn="0" w:lastRowFirstColumn="0" w:lastRowLastColumn="0"/>
            <w:tcW w:w="0" w:type="auto"/>
            <w:hideMark/>
          </w:tcPr>
          <w:p w14:paraId="5EF14AAC" w14:textId="77777777" w:rsidR="002C0E08" w:rsidRPr="002C0E08" w:rsidRDefault="002C0E08" w:rsidP="002C0E08">
            <w:pPr>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2. Protección de la propiedad intelectual</w:t>
            </w:r>
          </w:p>
        </w:tc>
        <w:tc>
          <w:tcPr>
            <w:tcW w:w="0" w:type="auto"/>
            <w:hideMark/>
          </w:tcPr>
          <w:p w14:paraId="69CA89AA" w14:textId="77777777" w:rsidR="002C0E08" w:rsidRPr="002C0E08" w:rsidRDefault="002C0E08" w:rsidP="002C0E0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xml:space="preserve">- Resultados de investigación patentables o protegibles- Normativa de PI nacional e institucional- Apoyo de </w:t>
            </w:r>
            <w:proofErr w:type="spellStart"/>
            <w:r w:rsidRPr="002C0E08">
              <w:rPr>
                <w:rFonts w:ascii="Times New Roman" w:eastAsia="Times New Roman" w:hAnsi="Times New Roman" w:cs="Times New Roman"/>
                <w:kern w:val="0"/>
                <w:sz w:val="20"/>
                <w:szCs w:val="20"/>
                <w:lang w:val="es-CO"/>
                <w14:ligatures w14:val="none"/>
              </w:rPr>
              <w:t>OTRIs</w:t>
            </w:r>
            <w:proofErr w:type="spellEnd"/>
            <w:r w:rsidRPr="002C0E08">
              <w:rPr>
                <w:rFonts w:ascii="Times New Roman" w:eastAsia="Times New Roman" w:hAnsi="Times New Roman" w:cs="Times New Roman"/>
                <w:kern w:val="0"/>
                <w:sz w:val="20"/>
                <w:szCs w:val="20"/>
                <w:lang w:val="es-CO"/>
                <w14:ligatures w14:val="none"/>
              </w:rPr>
              <w:t xml:space="preserve"> u oficinas jurídicas</w:t>
            </w:r>
          </w:p>
        </w:tc>
        <w:tc>
          <w:tcPr>
            <w:tcW w:w="0" w:type="auto"/>
            <w:hideMark/>
          </w:tcPr>
          <w:p w14:paraId="1A102F27" w14:textId="77777777" w:rsidR="002C0E08" w:rsidRPr="002C0E08" w:rsidRDefault="002C0E08" w:rsidP="002C0E0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xml:space="preserve">- Clasificación de resultados según tipo de protección (patente, derecho de autor, secreto industrial)- Redacción y solicitud de protección (patente u otra)- Definición de titularidad y </w:t>
            </w:r>
            <w:proofErr w:type="spellStart"/>
            <w:r w:rsidRPr="002C0E08">
              <w:rPr>
                <w:rFonts w:ascii="Times New Roman" w:eastAsia="Times New Roman" w:hAnsi="Times New Roman" w:cs="Times New Roman"/>
                <w:kern w:val="0"/>
                <w:sz w:val="20"/>
                <w:szCs w:val="20"/>
                <w:lang w:val="es-CO"/>
                <w14:ligatures w14:val="none"/>
              </w:rPr>
              <w:t>co-titularidad</w:t>
            </w:r>
            <w:proofErr w:type="spellEnd"/>
            <w:r w:rsidRPr="002C0E08">
              <w:rPr>
                <w:rFonts w:ascii="Times New Roman" w:eastAsia="Times New Roman" w:hAnsi="Times New Roman" w:cs="Times New Roman"/>
                <w:kern w:val="0"/>
                <w:sz w:val="20"/>
                <w:szCs w:val="20"/>
                <w:lang w:val="es-CO"/>
                <w14:ligatures w14:val="none"/>
              </w:rPr>
              <w:t xml:space="preserve"> con actores de salud</w:t>
            </w:r>
          </w:p>
        </w:tc>
        <w:tc>
          <w:tcPr>
            <w:tcW w:w="0" w:type="auto"/>
            <w:hideMark/>
          </w:tcPr>
          <w:p w14:paraId="79EDB053" w14:textId="77777777" w:rsidR="002C0E08" w:rsidRPr="002C0E08" w:rsidRDefault="002C0E08" w:rsidP="002C0E0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Documentos de protección intelectual (radicados ante SIC, ONPI u otros)- Títulos de propiedad en trámite o concedidos- Estrategia de propiedad intelectual definida</w:t>
            </w:r>
          </w:p>
        </w:tc>
      </w:tr>
      <w:tr w:rsidR="002C0E08" w:rsidRPr="00557496" w14:paraId="1109698D" w14:textId="77777777" w:rsidTr="00943A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E8A8BC5" w14:textId="77777777" w:rsidR="002C0E08" w:rsidRPr="002C0E08" w:rsidRDefault="002C0E08" w:rsidP="002C0E08">
            <w:pPr>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3. Validación técnica y sanitaria</w:t>
            </w:r>
          </w:p>
        </w:tc>
        <w:tc>
          <w:tcPr>
            <w:tcW w:w="0" w:type="auto"/>
            <w:hideMark/>
          </w:tcPr>
          <w:p w14:paraId="6420EC6A" w14:textId="77777777" w:rsidR="002C0E08" w:rsidRPr="002C0E08" w:rsidRDefault="002C0E08" w:rsidP="002C0E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Tecnología identificada y protegida- Protocolos técnicos- Equipos e infraestructura para validación- Requisitos de INVIMA</w:t>
            </w:r>
          </w:p>
        </w:tc>
        <w:tc>
          <w:tcPr>
            <w:tcW w:w="0" w:type="auto"/>
            <w:hideMark/>
          </w:tcPr>
          <w:p w14:paraId="5E1A9545" w14:textId="77777777" w:rsidR="002C0E08" w:rsidRPr="002C0E08" w:rsidRDefault="002C0E08" w:rsidP="002C0E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Validación funcional, técnica o clínica según el caso (en laboratorio u hospital)- Estudios regulatorios previos a licenciamiento (ej. pruebas de bioseguridad)- Coordinación con centros asistenciales</w:t>
            </w:r>
          </w:p>
        </w:tc>
        <w:tc>
          <w:tcPr>
            <w:tcW w:w="0" w:type="auto"/>
            <w:hideMark/>
          </w:tcPr>
          <w:p w14:paraId="3CDD4E16" w14:textId="77777777" w:rsidR="002C0E08" w:rsidRPr="002C0E08" w:rsidRDefault="002C0E08" w:rsidP="002C0E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Reportes de validación técnica y/o clínica- Certificaciones técnicas o de uso- Aprobaciones regulatorias preliminares</w:t>
            </w:r>
          </w:p>
        </w:tc>
      </w:tr>
      <w:tr w:rsidR="002C0E08" w:rsidRPr="00557496" w14:paraId="58624019" w14:textId="77777777" w:rsidTr="00943AEE">
        <w:tc>
          <w:tcPr>
            <w:cnfStyle w:val="001000000000" w:firstRow="0" w:lastRow="0" w:firstColumn="1" w:lastColumn="0" w:oddVBand="0" w:evenVBand="0" w:oddHBand="0" w:evenHBand="0" w:firstRowFirstColumn="0" w:firstRowLastColumn="0" w:lastRowFirstColumn="0" w:lastRowLastColumn="0"/>
            <w:tcW w:w="0" w:type="auto"/>
            <w:hideMark/>
          </w:tcPr>
          <w:p w14:paraId="31230B9C" w14:textId="77777777" w:rsidR="002C0E08" w:rsidRPr="002C0E08" w:rsidRDefault="002C0E08" w:rsidP="002C0E08">
            <w:pPr>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4. Gestión y negociación de acuerdos</w:t>
            </w:r>
          </w:p>
        </w:tc>
        <w:tc>
          <w:tcPr>
            <w:tcW w:w="0" w:type="auto"/>
            <w:hideMark/>
          </w:tcPr>
          <w:p w14:paraId="28811ACB" w14:textId="77777777" w:rsidR="002C0E08" w:rsidRPr="002C0E08" w:rsidRDefault="002C0E08" w:rsidP="002C0E0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Tecnología validada- Interés de empresas, hospitales o terceros- Modelos de contrato institucional- Capacidades de negociación</w:t>
            </w:r>
          </w:p>
        </w:tc>
        <w:tc>
          <w:tcPr>
            <w:tcW w:w="0" w:type="auto"/>
            <w:hideMark/>
          </w:tcPr>
          <w:p w14:paraId="7BED9D48" w14:textId="77777777" w:rsidR="002C0E08" w:rsidRPr="002C0E08" w:rsidRDefault="002C0E08" w:rsidP="002C0E0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Elaboración y negociación de acuerdos (licencias, convenios, contratos de colaboración)- Definición de condiciones (plazos, contraprestaciones, regalías, exclusividad)- Participación de comités jurídicos y administrativos internos</w:t>
            </w:r>
          </w:p>
        </w:tc>
        <w:tc>
          <w:tcPr>
            <w:tcW w:w="0" w:type="auto"/>
            <w:hideMark/>
          </w:tcPr>
          <w:p w14:paraId="65B7D48E" w14:textId="77777777" w:rsidR="002C0E08" w:rsidRPr="002C0E08" w:rsidRDefault="002C0E08" w:rsidP="002C0E0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Acuerdo de transferencia firmado- Contrato de licencia u otro instrumento formal- Acta de negociación</w:t>
            </w:r>
          </w:p>
        </w:tc>
      </w:tr>
      <w:tr w:rsidR="002C0E08" w:rsidRPr="00557496" w14:paraId="0EFFB19C" w14:textId="77777777" w:rsidTr="00943A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41EA3B" w14:textId="77777777" w:rsidR="002C0E08" w:rsidRPr="002C0E08" w:rsidRDefault="002C0E08" w:rsidP="002C0E08">
            <w:pPr>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5. Seguimiento y evaluación del impacto</w:t>
            </w:r>
          </w:p>
        </w:tc>
        <w:tc>
          <w:tcPr>
            <w:tcW w:w="0" w:type="auto"/>
            <w:hideMark/>
          </w:tcPr>
          <w:p w14:paraId="17C3A989" w14:textId="77777777" w:rsidR="002C0E08" w:rsidRPr="002C0E08" w:rsidRDefault="002C0E08" w:rsidP="002C0E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Acuerdo formalizado- Tecnología transferida- Indicadores definidos por las partes- Información de uso y resultados en campo</w:t>
            </w:r>
          </w:p>
        </w:tc>
        <w:tc>
          <w:tcPr>
            <w:tcW w:w="0" w:type="auto"/>
            <w:hideMark/>
          </w:tcPr>
          <w:p w14:paraId="484BA6EA" w14:textId="77777777" w:rsidR="002C0E08" w:rsidRPr="002C0E08" w:rsidRDefault="002C0E08" w:rsidP="002C0E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Seguimiento técnico y administrativo de los acuerdos- Evaluación del uso, adopción y mejoras de la tecnología- Retroalimentación de actores del sistema de salud- Identificación de impactos clínicos, económicos o sociales derivados del acuerdo</w:t>
            </w:r>
          </w:p>
        </w:tc>
        <w:tc>
          <w:tcPr>
            <w:tcW w:w="0" w:type="auto"/>
            <w:hideMark/>
          </w:tcPr>
          <w:p w14:paraId="194F370D" w14:textId="77777777" w:rsidR="002C0E08" w:rsidRPr="002C0E08" w:rsidRDefault="002C0E08" w:rsidP="002C0E0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2C0E08">
              <w:rPr>
                <w:rFonts w:ascii="Times New Roman" w:eastAsia="Times New Roman" w:hAnsi="Times New Roman" w:cs="Times New Roman"/>
                <w:kern w:val="0"/>
                <w:sz w:val="20"/>
                <w:szCs w:val="20"/>
                <w:lang w:val="es-CO"/>
                <w14:ligatures w14:val="none"/>
              </w:rPr>
              <w:t>- Informes de seguimiento- Métricas de impacto en salud y transferencia- Ajustes o extensiones contractuales si aplica</w:t>
            </w:r>
          </w:p>
        </w:tc>
      </w:tr>
    </w:tbl>
    <w:p w14:paraId="28C6C136" w14:textId="77777777" w:rsidR="002C0E08" w:rsidRDefault="002C0E08" w:rsidP="005A40F5">
      <w:pPr>
        <w:spacing w:line="480" w:lineRule="auto"/>
        <w:jc w:val="both"/>
        <w:rPr>
          <w:rFonts w:ascii="Times New Roman" w:hAnsi="Times New Roman" w:cs="Times New Roman"/>
          <w:sz w:val="24"/>
          <w:szCs w:val="24"/>
          <w:lang w:val="es-CO"/>
        </w:rPr>
      </w:pPr>
    </w:p>
    <w:p w14:paraId="1D744EA6" w14:textId="77777777" w:rsidR="00E12472" w:rsidRDefault="00E12472" w:rsidP="005A40F5">
      <w:pPr>
        <w:spacing w:line="480" w:lineRule="auto"/>
        <w:jc w:val="both"/>
        <w:rPr>
          <w:rFonts w:ascii="Times New Roman" w:hAnsi="Times New Roman" w:cs="Times New Roman"/>
          <w:sz w:val="24"/>
          <w:szCs w:val="24"/>
          <w:lang w:val="es-CO"/>
        </w:rPr>
        <w:sectPr w:rsidR="00E12472" w:rsidSect="002C0E08">
          <w:pgSz w:w="15840" w:h="12240" w:orient="landscape"/>
          <w:pgMar w:top="1440" w:right="1440" w:bottom="1440" w:left="1440" w:header="708" w:footer="708" w:gutter="0"/>
          <w:cols w:space="708"/>
          <w:docGrid w:linePitch="360"/>
        </w:sectPr>
      </w:pPr>
    </w:p>
    <w:p w14:paraId="08821293" w14:textId="77777777" w:rsidR="00E12472" w:rsidRPr="00E12472" w:rsidRDefault="00E12472" w:rsidP="00E12472">
      <w:pPr>
        <w:jc w:val="both"/>
        <w:rPr>
          <w:rFonts w:ascii="Times New Roman" w:hAnsi="Times New Roman" w:cs="Times New Roman"/>
          <w:b/>
          <w:bCs/>
          <w:sz w:val="24"/>
          <w:szCs w:val="24"/>
          <w:lang w:val="es-ES"/>
        </w:rPr>
      </w:pPr>
      <w:r w:rsidRPr="00E12472">
        <w:rPr>
          <w:rFonts w:ascii="Times New Roman" w:hAnsi="Times New Roman" w:cs="Times New Roman"/>
          <w:b/>
          <w:bCs/>
          <w:sz w:val="24"/>
          <w:szCs w:val="24"/>
          <w:lang w:val="es-ES"/>
        </w:rPr>
        <w:lastRenderedPageBreak/>
        <w:t>Observaciones complementarias:</w:t>
      </w:r>
    </w:p>
    <w:p w14:paraId="010F3DFD" w14:textId="77777777" w:rsidR="00E12472" w:rsidRPr="00E12472" w:rsidRDefault="00E12472" w:rsidP="00E12472">
      <w:pPr>
        <w:jc w:val="both"/>
        <w:rPr>
          <w:rFonts w:ascii="Times New Roman" w:hAnsi="Times New Roman" w:cs="Times New Roman"/>
          <w:sz w:val="24"/>
          <w:szCs w:val="24"/>
          <w:lang w:val="es-ES"/>
        </w:rPr>
      </w:pPr>
      <w:r w:rsidRPr="00E12472">
        <w:rPr>
          <w:rFonts w:ascii="Times New Roman" w:hAnsi="Times New Roman" w:cs="Times New Roman"/>
          <w:sz w:val="24"/>
          <w:szCs w:val="24"/>
          <w:lang w:val="es-ES"/>
        </w:rPr>
        <w:t>En Santander, varias etapas del proceso se desarrollan de forma parcial o informal, especialmente en la validación y el seguimiento, lo que limita la sostenibilidad de los acuerdos.</w:t>
      </w:r>
    </w:p>
    <w:p w14:paraId="40C9C94F" w14:textId="77777777" w:rsidR="00E12472" w:rsidRPr="00E12472" w:rsidRDefault="00E12472" w:rsidP="00E12472">
      <w:pPr>
        <w:jc w:val="both"/>
        <w:rPr>
          <w:rFonts w:ascii="Times New Roman" w:hAnsi="Times New Roman" w:cs="Times New Roman"/>
          <w:sz w:val="24"/>
          <w:szCs w:val="24"/>
          <w:lang w:val="es-ES"/>
        </w:rPr>
      </w:pPr>
      <w:r w:rsidRPr="00E12472">
        <w:rPr>
          <w:rFonts w:ascii="Times New Roman" w:hAnsi="Times New Roman" w:cs="Times New Roman"/>
          <w:sz w:val="24"/>
          <w:szCs w:val="24"/>
          <w:lang w:val="es-ES"/>
        </w:rPr>
        <w:t xml:space="preserve">Las entradas clave (como resultados con potencial de TT o la existencia de </w:t>
      </w:r>
      <w:proofErr w:type="spellStart"/>
      <w:r w:rsidRPr="00E12472">
        <w:rPr>
          <w:rFonts w:ascii="Times New Roman" w:hAnsi="Times New Roman" w:cs="Times New Roman"/>
          <w:sz w:val="24"/>
          <w:szCs w:val="24"/>
          <w:lang w:val="es-ES"/>
        </w:rPr>
        <w:t>OTRIs</w:t>
      </w:r>
      <w:proofErr w:type="spellEnd"/>
      <w:r w:rsidRPr="00E12472">
        <w:rPr>
          <w:rFonts w:ascii="Times New Roman" w:hAnsi="Times New Roman" w:cs="Times New Roman"/>
          <w:sz w:val="24"/>
          <w:szCs w:val="24"/>
          <w:lang w:val="es-ES"/>
        </w:rPr>
        <w:t>) son altamente dependientes de capacidades institucionales desiguales entre universidades y hospitales.</w:t>
      </w:r>
    </w:p>
    <w:p w14:paraId="183CB099" w14:textId="77777777" w:rsidR="00E12472" w:rsidRPr="00E12472" w:rsidRDefault="00E12472" w:rsidP="00E12472">
      <w:pPr>
        <w:jc w:val="both"/>
        <w:rPr>
          <w:rFonts w:ascii="Times New Roman" w:hAnsi="Times New Roman" w:cs="Times New Roman"/>
          <w:sz w:val="24"/>
          <w:szCs w:val="24"/>
          <w:lang w:val="es-ES"/>
        </w:rPr>
      </w:pPr>
      <w:r w:rsidRPr="00E12472">
        <w:rPr>
          <w:rFonts w:ascii="Times New Roman" w:hAnsi="Times New Roman" w:cs="Times New Roman"/>
          <w:sz w:val="24"/>
          <w:szCs w:val="24"/>
          <w:lang w:val="es-ES"/>
        </w:rPr>
        <w:t>Las salidas esperadas suelen no medirse ni documentarse adecuadamente, por lo que se dificulta la sistematización de buenas prácticas o lecciones aprendidas.</w:t>
      </w:r>
    </w:p>
    <w:p w14:paraId="4CF65115" w14:textId="77777777" w:rsidR="002C0E08" w:rsidRDefault="002C0E08" w:rsidP="005A40F5">
      <w:pPr>
        <w:spacing w:line="480" w:lineRule="auto"/>
        <w:jc w:val="both"/>
        <w:rPr>
          <w:rFonts w:ascii="Times New Roman" w:hAnsi="Times New Roman" w:cs="Times New Roman"/>
          <w:sz w:val="24"/>
          <w:szCs w:val="24"/>
          <w:lang w:val="es-CO"/>
        </w:rPr>
      </w:pPr>
    </w:p>
    <w:p w14:paraId="047F9A57" w14:textId="77777777" w:rsidR="002C0E08" w:rsidRDefault="002C0E08" w:rsidP="005A40F5">
      <w:pPr>
        <w:spacing w:line="480" w:lineRule="auto"/>
        <w:jc w:val="both"/>
        <w:rPr>
          <w:rFonts w:ascii="Times New Roman" w:hAnsi="Times New Roman" w:cs="Times New Roman"/>
          <w:sz w:val="24"/>
          <w:szCs w:val="24"/>
          <w:lang w:val="es-CO"/>
        </w:rPr>
      </w:pPr>
    </w:p>
    <w:p w14:paraId="6950BF2D" w14:textId="77777777" w:rsidR="002C0E08" w:rsidRDefault="002C0E08" w:rsidP="005A40F5">
      <w:pPr>
        <w:spacing w:line="480" w:lineRule="auto"/>
        <w:jc w:val="both"/>
        <w:rPr>
          <w:rFonts w:ascii="Times New Roman" w:hAnsi="Times New Roman" w:cs="Times New Roman"/>
          <w:sz w:val="24"/>
          <w:szCs w:val="24"/>
          <w:lang w:val="es-CO"/>
        </w:rPr>
      </w:pPr>
    </w:p>
    <w:p w14:paraId="7633F93F" w14:textId="42EDEEEE" w:rsidR="000A635E" w:rsidRDefault="000A635E" w:rsidP="005A40F5">
      <w:pPr>
        <w:spacing w:line="480" w:lineRule="auto"/>
        <w:jc w:val="both"/>
        <w:rPr>
          <w:rFonts w:ascii="Times New Roman" w:hAnsi="Times New Roman" w:cs="Times New Roman"/>
          <w:sz w:val="24"/>
          <w:szCs w:val="24"/>
          <w:lang w:val="es-CO"/>
        </w:rPr>
      </w:pPr>
    </w:p>
    <w:p w14:paraId="3CF402D8" w14:textId="1A1D08E7" w:rsidR="000A635E" w:rsidRDefault="000A635E" w:rsidP="005A40F5">
      <w:pPr>
        <w:spacing w:line="480" w:lineRule="auto"/>
        <w:jc w:val="both"/>
        <w:rPr>
          <w:rFonts w:ascii="Times New Roman" w:hAnsi="Times New Roman" w:cs="Times New Roman"/>
          <w:sz w:val="24"/>
          <w:szCs w:val="24"/>
          <w:lang w:val="es-CO"/>
        </w:rPr>
      </w:pPr>
    </w:p>
    <w:p w14:paraId="66EB57D0" w14:textId="54EABEC8" w:rsidR="000A635E" w:rsidRDefault="000A635E" w:rsidP="005A40F5">
      <w:pPr>
        <w:spacing w:line="480" w:lineRule="auto"/>
        <w:jc w:val="both"/>
        <w:rPr>
          <w:rFonts w:ascii="Times New Roman" w:hAnsi="Times New Roman" w:cs="Times New Roman"/>
          <w:sz w:val="24"/>
          <w:szCs w:val="24"/>
          <w:lang w:val="es-CO"/>
        </w:rPr>
      </w:pPr>
    </w:p>
    <w:p w14:paraId="4CA5D3ED" w14:textId="020B91B7" w:rsidR="000A635E" w:rsidRDefault="000A635E" w:rsidP="005A40F5">
      <w:pPr>
        <w:spacing w:line="480" w:lineRule="auto"/>
        <w:jc w:val="both"/>
        <w:rPr>
          <w:rFonts w:ascii="Times New Roman" w:hAnsi="Times New Roman" w:cs="Times New Roman"/>
          <w:sz w:val="24"/>
          <w:szCs w:val="24"/>
          <w:lang w:val="es-CO"/>
        </w:rPr>
      </w:pPr>
    </w:p>
    <w:p w14:paraId="10E1D5E0" w14:textId="42D6B54A" w:rsidR="000A635E" w:rsidRDefault="000A635E" w:rsidP="005A40F5">
      <w:pPr>
        <w:spacing w:line="480" w:lineRule="auto"/>
        <w:jc w:val="both"/>
        <w:rPr>
          <w:rFonts w:ascii="Times New Roman" w:hAnsi="Times New Roman" w:cs="Times New Roman"/>
          <w:sz w:val="24"/>
          <w:szCs w:val="24"/>
          <w:lang w:val="es-CO"/>
        </w:rPr>
      </w:pPr>
    </w:p>
    <w:p w14:paraId="41F5AA3B" w14:textId="089064D1" w:rsidR="000A635E" w:rsidRDefault="000A635E" w:rsidP="005A40F5">
      <w:pPr>
        <w:spacing w:line="480" w:lineRule="auto"/>
        <w:jc w:val="both"/>
        <w:rPr>
          <w:rFonts w:ascii="Times New Roman" w:hAnsi="Times New Roman" w:cs="Times New Roman"/>
          <w:sz w:val="24"/>
          <w:szCs w:val="24"/>
          <w:lang w:val="es-CO"/>
        </w:rPr>
      </w:pPr>
    </w:p>
    <w:p w14:paraId="26784F10" w14:textId="707DE7EF" w:rsidR="000A635E" w:rsidRDefault="000A635E" w:rsidP="005A40F5">
      <w:pPr>
        <w:spacing w:line="480" w:lineRule="auto"/>
        <w:jc w:val="both"/>
        <w:rPr>
          <w:rFonts w:ascii="Times New Roman" w:hAnsi="Times New Roman" w:cs="Times New Roman"/>
          <w:sz w:val="24"/>
          <w:szCs w:val="24"/>
          <w:lang w:val="es-CO"/>
        </w:rPr>
      </w:pPr>
    </w:p>
    <w:p w14:paraId="0BC74349" w14:textId="77777777" w:rsidR="00E12472" w:rsidRDefault="00E12472" w:rsidP="005A40F5">
      <w:pPr>
        <w:spacing w:line="480" w:lineRule="auto"/>
        <w:jc w:val="both"/>
        <w:rPr>
          <w:rFonts w:ascii="Times New Roman" w:hAnsi="Times New Roman" w:cs="Times New Roman"/>
          <w:sz w:val="24"/>
          <w:szCs w:val="24"/>
          <w:lang w:val="es-CO"/>
        </w:rPr>
      </w:pPr>
    </w:p>
    <w:p w14:paraId="4DDD3AB2" w14:textId="77777777" w:rsidR="00E12472" w:rsidRDefault="00E12472" w:rsidP="005A40F5">
      <w:pPr>
        <w:spacing w:line="480" w:lineRule="auto"/>
        <w:jc w:val="both"/>
        <w:rPr>
          <w:rFonts w:ascii="Times New Roman" w:hAnsi="Times New Roman" w:cs="Times New Roman"/>
          <w:sz w:val="24"/>
          <w:szCs w:val="24"/>
          <w:lang w:val="es-CO"/>
        </w:rPr>
      </w:pPr>
    </w:p>
    <w:p w14:paraId="14B049D9" w14:textId="77777777" w:rsidR="00E12472" w:rsidRDefault="00E12472" w:rsidP="005A40F5">
      <w:pPr>
        <w:spacing w:line="480" w:lineRule="auto"/>
        <w:jc w:val="both"/>
        <w:rPr>
          <w:rFonts w:ascii="Times New Roman" w:hAnsi="Times New Roman" w:cs="Times New Roman"/>
          <w:sz w:val="24"/>
          <w:szCs w:val="24"/>
          <w:lang w:val="es-CO"/>
        </w:rPr>
      </w:pPr>
    </w:p>
    <w:p w14:paraId="2937B4D6" w14:textId="592136B4" w:rsidR="000A635E" w:rsidRDefault="000A635E" w:rsidP="005A40F5">
      <w:pPr>
        <w:spacing w:line="480" w:lineRule="auto"/>
        <w:jc w:val="both"/>
        <w:rPr>
          <w:rFonts w:ascii="Times New Roman" w:hAnsi="Times New Roman" w:cs="Times New Roman"/>
          <w:sz w:val="24"/>
          <w:szCs w:val="24"/>
          <w:lang w:val="es-CO"/>
        </w:rPr>
      </w:pPr>
    </w:p>
    <w:p w14:paraId="28FB6A80" w14:textId="3E4776B4" w:rsidR="000A635E" w:rsidRDefault="000A635E" w:rsidP="000A635E">
      <w:pPr>
        <w:pStyle w:val="Ttulo1"/>
        <w:jc w:val="center"/>
        <w:rPr>
          <w:b/>
          <w:bCs/>
          <w:lang w:val="es-CO"/>
        </w:rPr>
      </w:pPr>
      <w:bookmarkStart w:id="5" w:name="_Toc202389896"/>
      <w:r w:rsidRPr="000A635E">
        <w:rPr>
          <w:b/>
          <w:bCs/>
          <w:lang w:val="es-CO"/>
        </w:rPr>
        <w:lastRenderedPageBreak/>
        <w:t>Referencias Bibliográficas</w:t>
      </w:r>
      <w:bookmarkEnd w:id="5"/>
    </w:p>
    <w:p w14:paraId="56A1BF64" w14:textId="77777777" w:rsidR="000A635E" w:rsidRPr="000A635E" w:rsidRDefault="000A635E" w:rsidP="000A635E">
      <w:pPr>
        <w:rPr>
          <w:lang w:val="es-CO"/>
        </w:rPr>
      </w:pPr>
    </w:p>
    <w:p w14:paraId="7706DEBC" w14:textId="77777777" w:rsidR="000A635E" w:rsidRPr="000A635E" w:rsidRDefault="000A635E" w:rsidP="000A635E">
      <w:pPr>
        <w:pStyle w:val="NormalWeb"/>
        <w:spacing w:line="360" w:lineRule="auto"/>
        <w:ind w:left="720" w:hanging="720"/>
        <w:rPr>
          <w:lang w:val="es-CO"/>
        </w:rPr>
      </w:pPr>
      <w:proofErr w:type="spellStart"/>
      <w:r w:rsidRPr="000A635E">
        <w:rPr>
          <w:lang w:val="es-CO"/>
        </w:rPr>
        <w:t>Flick</w:t>
      </w:r>
      <w:proofErr w:type="spellEnd"/>
      <w:r w:rsidRPr="000A635E">
        <w:rPr>
          <w:lang w:val="es-CO"/>
        </w:rPr>
        <w:t xml:space="preserve">, U. (2015). </w:t>
      </w:r>
      <w:r w:rsidRPr="000A635E">
        <w:rPr>
          <w:rStyle w:val="nfasis"/>
          <w:lang w:val="es-CO"/>
        </w:rPr>
        <w:t>Introducción a la investigación cualitativa</w:t>
      </w:r>
      <w:r w:rsidRPr="000A635E">
        <w:rPr>
          <w:lang w:val="es-CO"/>
        </w:rPr>
        <w:t xml:space="preserve"> (5ª ed.). Morata.</w:t>
      </w:r>
    </w:p>
    <w:p w14:paraId="5D9BD5F2" w14:textId="77777777" w:rsidR="000A635E" w:rsidRPr="000A635E" w:rsidRDefault="000A635E" w:rsidP="000A635E">
      <w:pPr>
        <w:pStyle w:val="NormalWeb"/>
        <w:spacing w:line="360" w:lineRule="auto"/>
        <w:ind w:left="720" w:hanging="720"/>
        <w:rPr>
          <w:lang w:val="es-CO"/>
        </w:rPr>
      </w:pPr>
      <w:r w:rsidRPr="000A635E">
        <w:rPr>
          <w:lang w:val="es-CO"/>
        </w:rPr>
        <w:t xml:space="preserve">Hernández-Sampieri, R., Fernández-Collado, C., &amp; Baptista-Lucio, P. (2014). </w:t>
      </w:r>
      <w:r w:rsidRPr="000A635E">
        <w:rPr>
          <w:rStyle w:val="nfasis"/>
          <w:lang w:val="es-CO"/>
        </w:rPr>
        <w:t>Metodología de la investigación</w:t>
      </w:r>
      <w:r w:rsidRPr="000A635E">
        <w:rPr>
          <w:lang w:val="es-CO"/>
        </w:rPr>
        <w:t xml:space="preserve"> (6ª ed.). McGraw-Hill </w:t>
      </w:r>
      <w:proofErr w:type="spellStart"/>
      <w:r w:rsidRPr="000A635E">
        <w:rPr>
          <w:lang w:val="es-CO"/>
        </w:rPr>
        <w:t>Education</w:t>
      </w:r>
      <w:proofErr w:type="spellEnd"/>
      <w:r w:rsidRPr="000A635E">
        <w:rPr>
          <w:lang w:val="es-CO"/>
        </w:rPr>
        <w:t>.</w:t>
      </w:r>
    </w:p>
    <w:p w14:paraId="3E6B844C" w14:textId="77777777" w:rsidR="000A635E" w:rsidRDefault="000A635E" w:rsidP="000A635E">
      <w:pPr>
        <w:pStyle w:val="NormalWeb"/>
        <w:spacing w:line="360" w:lineRule="auto"/>
        <w:ind w:left="720" w:hanging="720"/>
      </w:pPr>
      <w:r w:rsidRPr="000A635E">
        <w:rPr>
          <w:lang w:val="es-CO"/>
        </w:rPr>
        <w:t xml:space="preserve">Ministerio de Ciencia, Tecnología e Innovación. (2022). </w:t>
      </w:r>
      <w:r w:rsidRPr="000A635E">
        <w:rPr>
          <w:rStyle w:val="nfasis"/>
          <w:lang w:val="es-CO"/>
        </w:rPr>
        <w:t>Guía para la transferencia de tecnología</w:t>
      </w:r>
      <w:r w:rsidRPr="000A635E">
        <w:rPr>
          <w:lang w:val="es-CO"/>
        </w:rPr>
        <w:t xml:space="preserve">. </w:t>
      </w:r>
      <w:hyperlink r:id="rId6" w:history="1">
        <w:r>
          <w:rPr>
            <w:rStyle w:val="Hipervnculo"/>
          </w:rPr>
          <w:t>https://minciencias.gov.co/sites/default/files/271022_guia_para_la_transferencia_de_tecnologia.pdf</w:t>
        </w:r>
      </w:hyperlink>
    </w:p>
    <w:p w14:paraId="3DBF3A37" w14:textId="77777777" w:rsidR="000A635E" w:rsidRPr="000A635E" w:rsidRDefault="000A635E" w:rsidP="000A635E">
      <w:pPr>
        <w:pStyle w:val="NormalWeb"/>
        <w:spacing w:line="360" w:lineRule="auto"/>
        <w:ind w:left="720" w:hanging="720"/>
        <w:rPr>
          <w:lang w:val="es-CO"/>
        </w:rPr>
      </w:pPr>
      <w:r w:rsidRPr="000A635E">
        <w:rPr>
          <w:lang w:val="es-CO"/>
        </w:rPr>
        <w:t xml:space="preserve">Organización Mundial de la Propiedad Intelectual. (2021). </w:t>
      </w:r>
      <w:r w:rsidRPr="000A635E">
        <w:rPr>
          <w:rStyle w:val="nfasis"/>
          <w:lang w:val="es-CO"/>
        </w:rPr>
        <w:t>Guía de buenas prácticas para la gestión de oficinas de transferencia de tecnología (OTT)</w:t>
      </w:r>
      <w:r w:rsidRPr="000A635E">
        <w:rPr>
          <w:lang w:val="es-CO"/>
        </w:rPr>
        <w:t xml:space="preserve">. </w:t>
      </w:r>
      <w:hyperlink r:id="rId7" w:history="1">
        <w:r w:rsidRPr="000A635E">
          <w:rPr>
            <w:rStyle w:val="Hipervnculo"/>
            <w:lang w:val="es-CO"/>
          </w:rPr>
          <w:t>https://www.wipo.int/edocs/pubdocs/es/wipo_pub_1047.pdf</w:t>
        </w:r>
      </w:hyperlink>
    </w:p>
    <w:p w14:paraId="6C292B51" w14:textId="77777777" w:rsidR="000A635E" w:rsidRPr="000A635E" w:rsidRDefault="000A635E" w:rsidP="000A635E">
      <w:pPr>
        <w:pStyle w:val="NormalWeb"/>
        <w:spacing w:line="360" w:lineRule="auto"/>
        <w:ind w:left="720" w:hanging="720"/>
        <w:rPr>
          <w:lang w:val="es-CO"/>
        </w:rPr>
      </w:pPr>
      <w:r w:rsidRPr="000A635E">
        <w:rPr>
          <w:lang w:val="es-CO"/>
        </w:rPr>
        <w:t xml:space="preserve">Organización Mundial de la Salud. </w:t>
      </w:r>
      <w:r>
        <w:t xml:space="preserve">(2014). </w:t>
      </w:r>
      <w:r>
        <w:rPr>
          <w:rStyle w:val="nfasis"/>
        </w:rPr>
        <w:t>Technology transfer for the health sector: Lessons from WHO and partner countries</w:t>
      </w:r>
      <w:r>
        <w:t xml:space="preserve">. </w:t>
      </w:r>
      <w:hyperlink r:id="rId8" w:history="1">
        <w:r w:rsidRPr="000A635E">
          <w:rPr>
            <w:rStyle w:val="Hipervnculo"/>
            <w:lang w:val="es-CO"/>
          </w:rPr>
          <w:t>https://www.who.int/publications/i/item/9789241508130</w:t>
        </w:r>
      </w:hyperlink>
    </w:p>
    <w:p w14:paraId="026FAC61" w14:textId="77777777" w:rsidR="000A635E" w:rsidRDefault="000A635E" w:rsidP="000A635E">
      <w:pPr>
        <w:pStyle w:val="NormalWeb"/>
        <w:spacing w:line="360" w:lineRule="auto"/>
        <w:ind w:left="720" w:hanging="720"/>
      </w:pPr>
      <w:r w:rsidRPr="000A635E">
        <w:rPr>
          <w:lang w:val="es-CO"/>
        </w:rPr>
        <w:t xml:space="preserve">Organización Mundial del Comercio, Organización Mundial de la Salud &amp; Organización Mundial de la Propiedad Intelectual. (2022). </w:t>
      </w:r>
      <w:r w:rsidRPr="000A635E">
        <w:rPr>
          <w:rStyle w:val="nfasis"/>
          <w:lang w:val="es-CO"/>
        </w:rPr>
        <w:t>Promover el acceso a tecnologías médicas y fomentar la innovación: Informe conjunto sobre la transferencia de tecnología</w:t>
      </w:r>
      <w:r w:rsidRPr="000A635E">
        <w:rPr>
          <w:lang w:val="es-CO"/>
        </w:rPr>
        <w:t xml:space="preserve">. </w:t>
      </w:r>
      <w:hyperlink r:id="rId9" w:history="1">
        <w:r>
          <w:rPr>
            <w:rStyle w:val="Hipervnculo"/>
          </w:rPr>
          <w:t>https://www.wto.org/english/news_e/news22_e/trip_22feb22_e.htm</w:t>
        </w:r>
      </w:hyperlink>
    </w:p>
    <w:p w14:paraId="1134B2B9" w14:textId="77777777" w:rsidR="000A635E" w:rsidRPr="000A635E" w:rsidRDefault="000A635E" w:rsidP="000A635E">
      <w:pPr>
        <w:pStyle w:val="NormalWeb"/>
        <w:spacing w:line="360" w:lineRule="auto"/>
        <w:ind w:left="720" w:hanging="720"/>
        <w:rPr>
          <w:lang w:val="es-CO"/>
        </w:rPr>
      </w:pPr>
      <w:r w:rsidRPr="000A635E">
        <w:rPr>
          <w:lang w:val="es-CO"/>
        </w:rPr>
        <w:t xml:space="preserve">Organización para la Cooperación y el Desarrollo Económicos. </w:t>
      </w:r>
      <w:r>
        <w:t xml:space="preserve">(2019). </w:t>
      </w:r>
      <w:r>
        <w:rPr>
          <w:rStyle w:val="nfasis"/>
        </w:rPr>
        <w:t xml:space="preserve">Universities and knowledge transfer: </w:t>
      </w:r>
      <w:proofErr w:type="gramStart"/>
      <w:r>
        <w:rPr>
          <w:rStyle w:val="nfasis"/>
        </w:rPr>
        <w:t>New</w:t>
      </w:r>
      <w:proofErr w:type="gramEnd"/>
      <w:r>
        <w:rPr>
          <w:rStyle w:val="nfasis"/>
        </w:rPr>
        <w:t xml:space="preserve"> directions</w:t>
      </w:r>
      <w:r>
        <w:t xml:space="preserve">. </w:t>
      </w:r>
      <w:hyperlink r:id="rId10" w:history="1">
        <w:r w:rsidRPr="000A635E">
          <w:rPr>
            <w:rStyle w:val="Hipervnculo"/>
            <w:lang w:val="es-CO"/>
          </w:rPr>
          <w:t>https://www.oecd.org/sti/inno/universities-knowledge-transfer.htm</w:t>
        </w:r>
      </w:hyperlink>
    </w:p>
    <w:p w14:paraId="2DB92081" w14:textId="77777777" w:rsidR="000A635E" w:rsidRDefault="000A635E" w:rsidP="000A635E">
      <w:pPr>
        <w:pStyle w:val="NormalWeb"/>
        <w:spacing w:line="360" w:lineRule="auto"/>
        <w:ind w:left="720" w:hanging="720"/>
      </w:pPr>
      <w:r w:rsidRPr="000A635E">
        <w:rPr>
          <w:lang w:val="es-CO"/>
        </w:rPr>
        <w:t xml:space="preserve">Comisión Económica para América Latina y el Caribe. (2024). </w:t>
      </w:r>
      <w:r w:rsidRPr="000A635E">
        <w:rPr>
          <w:rStyle w:val="nfasis"/>
          <w:lang w:val="es-CO"/>
        </w:rPr>
        <w:t>Diálogo regional de políticas sobre transferencia de tecnología en América Latina</w:t>
      </w:r>
      <w:r w:rsidRPr="000A635E">
        <w:rPr>
          <w:lang w:val="es-CO"/>
        </w:rPr>
        <w:t xml:space="preserve"> [evento]. </w:t>
      </w:r>
      <w:hyperlink r:id="rId11" w:history="1">
        <w:r>
          <w:rPr>
            <w:rStyle w:val="Hipervnculo"/>
          </w:rPr>
          <w:t>https://www.cepal.org/es/eventos/dialogo-regional-politicas-transferencia-tecnologia-america-latina</w:t>
        </w:r>
      </w:hyperlink>
    </w:p>
    <w:p w14:paraId="05913981" w14:textId="77777777" w:rsidR="000A635E" w:rsidRPr="000A635E" w:rsidRDefault="000A635E" w:rsidP="000A635E">
      <w:pPr>
        <w:pStyle w:val="NormalWeb"/>
        <w:spacing w:line="360" w:lineRule="auto"/>
        <w:ind w:left="720" w:hanging="720"/>
        <w:rPr>
          <w:lang w:val="es-CO"/>
        </w:rPr>
      </w:pPr>
      <w:r w:rsidRPr="000A635E">
        <w:rPr>
          <w:lang w:val="es-CO"/>
        </w:rPr>
        <w:lastRenderedPageBreak/>
        <w:t xml:space="preserve">Strauss, A., &amp; </w:t>
      </w:r>
      <w:proofErr w:type="spellStart"/>
      <w:r w:rsidRPr="000A635E">
        <w:rPr>
          <w:lang w:val="es-CO"/>
        </w:rPr>
        <w:t>Corbin</w:t>
      </w:r>
      <w:proofErr w:type="spellEnd"/>
      <w:r w:rsidRPr="000A635E">
        <w:rPr>
          <w:lang w:val="es-CO"/>
        </w:rPr>
        <w:t xml:space="preserve">, J. (2002). </w:t>
      </w:r>
      <w:r w:rsidRPr="000A635E">
        <w:rPr>
          <w:rStyle w:val="nfasis"/>
          <w:lang w:val="es-CO"/>
        </w:rPr>
        <w:t>Bases de la investigación cualitativa: Técnicas y procedimientos para desarrollar la teoría fundamentada</w:t>
      </w:r>
      <w:r w:rsidRPr="000A635E">
        <w:rPr>
          <w:lang w:val="es-CO"/>
        </w:rPr>
        <w:t>. Universidad de Antioquia.</w:t>
      </w:r>
    </w:p>
    <w:p w14:paraId="28150A5E" w14:textId="77777777" w:rsidR="004F1587" w:rsidRPr="000A635E" w:rsidRDefault="004F1587" w:rsidP="000A635E">
      <w:pPr>
        <w:spacing w:line="360" w:lineRule="auto"/>
        <w:ind w:left="720" w:hanging="720"/>
        <w:jc w:val="both"/>
        <w:rPr>
          <w:rFonts w:ascii="Times New Roman" w:hAnsi="Times New Roman" w:cs="Times New Roman"/>
          <w:sz w:val="24"/>
          <w:szCs w:val="24"/>
        </w:rPr>
      </w:pPr>
    </w:p>
    <w:sectPr w:rsidR="004F1587" w:rsidRPr="000A635E" w:rsidSect="00E1247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567F7"/>
    <w:multiLevelType w:val="hybridMultilevel"/>
    <w:tmpl w:val="0810B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AD5882"/>
    <w:multiLevelType w:val="hybridMultilevel"/>
    <w:tmpl w:val="938E4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6855E8"/>
    <w:multiLevelType w:val="multilevel"/>
    <w:tmpl w:val="BAC0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4C6748"/>
    <w:multiLevelType w:val="multilevel"/>
    <w:tmpl w:val="1DD0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BA3AA7"/>
    <w:multiLevelType w:val="hybridMultilevel"/>
    <w:tmpl w:val="F4449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AB760B"/>
    <w:multiLevelType w:val="multilevel"/>
    <w:tmpl w:val="A692A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B657AD"/>
    <w:multiLevelType w:val="hybridMultilevel"/>
    <w:tmpl w:val="7C58A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F32390"/>
    <w:multiLevelType w:val="multilevel"/>
    <w:tmpl w:val="148C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E63AA5"/>
    <w:multiLevelType w:val="hybridMultilevel"/>
    <w:tmpl w:val="FB58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814418"/>
    <w:multiLevelType w:val="hybridMultilevel"/>
    <w:tmpl w:val="02609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CA1397"/>
    <w:multiLevelType w:val="multilevel"/>
    <w:tmpl w:val="791CC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4122659">
    <w:abstractNumId w:val="5"/>
  </w:num>
  <w:num w:numId="2" w16cid:durableId="2116561679">
    <w:abstractNumId w:val="7"/>
  </w:num>
  <w:num w:numId="3" w16cid:durableId="499927859">
    <w:abstractNumId w:val="10"/>
  </w:num>
  <w:num w:numId="4" w16cid:durableId="920680997">
    <w:abstractNumId w:val="2"/>
  </w:num>
  <w:num w:numId="5" w16cid:durableId="1719889827">
    <w:abstractNumId w:val="0"/>
  </w:num>
  <w:num w:numId="6" w16cid:durableId="1097948755">
    <w:abstractNumId w:val="6"/>
  </w:num>
  <w:num w:numId="7" w16cid:durableId="215816542">
    <w:abstractNumId w:val="8"/>
  </w:num>
  <w:num w:numId="8" w16cid:durableId="1448699208">
    <w:abstractNumId w:val="1"/>
  </w:num>
  <w:num w:numId="9" w16cid:durableId="32312383">
    <w:abstractNumId w:val="9"/>
  </w:num>
  <w:num w:numId="10" w16cid:durableId="857888392">
    <w:abstractNumId w:val="4"/>
  </w:num>
  <w:num w:numId="11" w16cid:durableId="12262583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0F5"/>
    <w:rsid w:val="000A635E"/>
    <w:rsid w:val="000C2460"/>
    <w:rsid w:val="00202076"/>
    <w:rsid w:val="00222B21"/>
    <w:rsid w:val="00274C00"/>
    <w:rsid w:val="002936B9"/>
    <w:rsid w:val="002A50D7"/>
    <w:rsid w:val="002C0E08"/>
    <w:rsid w:val="002F2DCD"/>
    <w:rsid w:val="004F1587"/>
    <w:rsid w:val="00557496"/>
    <w:rsid w:val="005A40F5"/>
    <w:rsid w:val="00614EC3"/>
    <w:rsid w:val="006175C7"/>
    <w:rsid w:val="006D4F97"/>
    <w:rsid w:val="00707481"/>
    <w:rsid w:val="00715F72"/>
    <w:rsid w:val="00875865"/>
    <w:rsid w:val="008E74B9"/>
    <w:rsid w:val="009155B9"/>
    <w:rsid w:val="00943AEE"/>
    <w:rsid w:val="009F646D"/>
    <w:rsid w:val="00C21D3B"/>
    <w:rsid w:val="00C419DF"/>
    <w:rsid w:val="00D2078B"/>
    <w:rsid w:val="00D231D6"/>
    <w:rsid w:val="00D443FD"/>
    <w:rsid w:val="00D86D37"/>
    <w:rsid w:val="00D92349"/>
    <w:rsid w:val="00E12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57A2B"/>
  <w15:chartTrackingRefBased/>
  <w15:docId w15:val="{8386615A-E948-412F-95E1-56EE4E956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A40F5"/>
    <w:pPr>
      <w:keepNext/>
      <w:keepLines/>
      <w:spacing w:before="240" w:after="0"/>
      <w:outlineLvl w:val="0"/>
    </w:pPr>
    <w:rPr>
      <w:rFonts w:ascii="Times New Roman" w:eastAsiaTheme="majorEastAsia" w:hAnsi="Times New Roman" w:cstheme="majorBidi"/>
      <w:sz w:val="24"/>
      <w:szCs w:val="32"/>
    </w:rPr>
  </w:style>
  <w:style w:type="paragraph" w:styleId="Ttulo2">
    <w:name w:val="heading 2"/>
    <w:basedOn w:val="Normal"/>
    <w:link w:val="Ttulo2Car"/>
    <w:uiPriority w:val="9"/>
    <w:qFormat/>
    <w:rsid w:val="005A40F5"/>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Ttulo3">
    <w:name w:val="heading 3"/>
    <w:basedOn w:val="Normal"/>
    <w:link w:val="Ttulo3Car"/>
    <w:uiPriority w:val="9"/>
    <w:qFormat/>
    <w:rsid w:val="005A40F5"/>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A40F5"/>
    <w:rPr>
      <w:rFonts w:ascii="Times New Roman" w:eastAsia="Times New Roman" w:hAnsi="Times New Roman" w:cs="Times New Roman"/>
      <w:b/>
      <w:bCs/>
      <w:kern w:val="0"/>
      <w:sz w:val="36"/>
      <w:szCs w:val="36"/>
      <w14:ligatures w14:val="none"/>
    </w:rPr>
  </w:style>
  <w:style w:type="character" w:customStyle="1" w:styleId="Ttulo3Car">
    <w:name w:val="Título 3 Car"/>
    <w:basedOn w:val="Fuentedeprrafopredeter"/>
    <w:link w:val="Ttulo3"/>
    <w:uiPriority w:val="9"/>
    <w:rsid w:val="005A40F5"/>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semiHidden/>
    <w:unhideWhenUsed/>
    <w:rsid w:val="005A40F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Textoennegrita">
    <w:name w:val="Strong"/>
    <w:basedOn w:val="Fuentedeprrafopredeter"/>
    <w:uiPriority w:val="22"/>
    <w:qFormat/>
    <w:rsid w:val="005A40F5"/>
    <w:rPr>
      <w:b/>
      <w:bCs/>
    </w:rPr>
  </w:style>
  <w:style w:type="character" w:styleId="Hipervnculo">
    <w:name w:val="Hyperlink"/>
    <w:basedOn w:val="Fuentedeprrafopredeter"/>
    <w:uiPriority w:val="99"/>
    <w:unhideWhenUsed/>
    <w:rsid w:val="005A40F5"/>
    <w:rPr>
      <w:color w:val="0000FF"/>
      <w:u w:val="single"/>
    </w:rPr>
  </w:style>
  <w:style w:type="character" w:styleId="nfasis">
    <w:name w:val="Emphasis"/>
    <w:basedOn w:val="Fuentedeprrafopredeter"/>
    <w:uiPriority w:val="20"/>
    <w:qFormat/>
    <w:rsid w:val="005A40F5"/>
    <w:rPr>
      <w:i/>
      <w:iCs/>
    </w:rPr>
  </w:style>
  <w:style w:type="character" w:customStyle="1" w:styleId="Ttulo1Car">
    <w:name w:val="Título 1 Car"/>
    <w:basedOn w:val="Fuentedeprrafopredeter"/>
    <w:link w:val="Ttulo1"/>
    <w:uiPriority w:val="9"/>
    <w:rsid w:val="005A40F5"/>
    <w:rPr>
      <w:rFonts w:ascii="Times New Roman" w:eastAsiaTheme="majorEastAsia" w:hAnsi="Times New Roman" w:cstheme="majorBidi"/>
      <w:sz w:val="24"/>
      <w:szCs w:val="32"/>
    </w:rPr>
  </w:style>
  <w:style w:type="paragraph" w:styleId="Prrafodelista">
    <w:name w:val="List Paragraph"/>
    <w:basedOn w:val="Normal"/>
    <w:uiPriority w:val="34"/>
    <w:qFormat/>
    <w:rsid w:val="005A40F5"/>
    <w:pPr>
      <w:ind w:left="720"/>
      <w:contextualSpacing/>
    </w:pPr>
  </w:style>
  <w:style w:type="paragraph" w:styleId="TtuloTDC">
    <w:name w:val="TOC Heading"/>
    <w:basedOn w:val="Ttulo1"/>
    <w:next w:val="Normal"/>
    <w:uiPriority w:val="39"/>
    <w:unhideWhenUsed/>
    <w:qFormat/>
    <w:rsid w:val="000A635E"/>
    <w:pPr>
      <w:outlineLvl w:val="9"/>
    </w:pPr>
    <w:rPr>
      <w:rFonts w:asciiTheme="majorHAnsi" w:hAnsiTheme="majorHAnsi"/>
      <w:color w:val="2F5496" w:themeColor="accent1" w:themeShade="BF"/>
      <w:kern w:val="0"/>
      <w:sz w:val="32"/>
      <w14:ligatures w14:val="none"/>
    </w:rPr>
  </w:style>
  <w:style w:type="paragraph" w:styleId="TDC1">
    <w:name w:val="toc 1"/>
    <w:basedOn w:val="Normal"/>
    <w:next w:val="Normal"/>
    <w:autoRedefine/>
    <w:uiPriority w:val="39"/>
    <w:unhideWhenUsed/>
    <w:rsid w:val="000A635E"/>
    <w:pPr>
      <w:spacing w:after="100"/>
    </w:pPr>
  </w:style>
  <w:style w:type="table" w:styleId="Tablanormal2">
    <w:name w:val="Plain Table 2"/>
    <w:basedOn w:val="Tablanormal"/>
    <w:uiPriority w:val="42"/>
    <w:rsid w:val="00943A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Descripcin">
    <w:name w:val="caption"/>
    <w:basedOn w:val="Normal"/>
    <w:next w:val="Normal"/>
    <w:uiPriority w:val="35"/>
    <w:unhideWhenUsed/>
    <w:qFormat/>
    <w:rsid w:val="002F2DC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67894">
      <w:bodyDiv w:val="1"/>
      <w:marLeft w:val="0"/>
      <w:marRight w:val="0"/>
      <w:marTop w:val="0"/>
      <w:marBottom w:val="0"/>
      <w:divBdr>
        <w:top w:val="none" w:sz="0" w:space="0" w:color="auto"/>
        <w:left w:val="none" w:sz="0" w:space="0" w:color="auto"/>
        <w:bottom w:val="none" w:sz="0" w:space="0" w:color="auto"/>
        <w:right w:val="none" w:sz="0" w:space="0" w:color="auto"/>
      </w:divBdr>
    </w:div>
    <w:div w:id="549657156">
      <w:bodyDiv w:val="1"/>
      <w:marLeft w:val="0"/>
      <w:marRight w:val="0"/>
      <w:marTop w:val="0"/>
      <w:marBottom w:val="0"/>
      <w:divBdr>
        <w:top w:val="none" w:sz="0" w:space="0" w:color="auto"/>
        <w:left w:val="none" w:sz="0" w:space="0" w:color="auto"/>
        <w:bottom w:val="none" w:sz="0" w:space="0" w:color="auto"/>
        <w:right w:val="none" w:sz="0" w:space="0" w:color="auto"/>
      </w:divBdr>
    </w:div>
    <w:div w:id="617102555">
      <w:bodyDiv w:val="1"/>
      <w:marLeft w:val="0"/>
      <w:marRight w:val="0"/>
      <w:marTop w:val="0"/>
      <w:marBottom w:val="0"/>
      <w:divBdr>
        <w:top w:val="none" w:sz="0" w:space="0" w:color="auto"/>
        <w:left w:val="none" w:sz="0" w:space="0" w:color="auto"/>
        <w:bottom w:val="none" w:sz="0" w:space="0" w:color="auto"/>
        <w:right w:val="none" w:sz="0" w:space="0" w:color="auto"/>
      </w:divBdr>
      <w:divsChild>
        <w:div w:id="593516122">
          <w:marLeft w:val="0"/>
          <w:marRight w:val="0"/>
          <w:marTop w:val="0"/>
          <w:marBottom w:val="0"/>
          <w:divBdr>
            <w:top w:val="none" w:sz="0" w:space="0" w:color="auto"/>
            <w:left w:val="none" w:sz="0" w:space="0" w:color="auto"/>
            <w:bottom w:val="none" w:sz="0" w:space="0" w:color="auto"/>
            <w:right w:val="none" w:sz="0" w:space="0" w:color="auto"/>
          </w:divBdr>
        </w:div>
        <w:div w:id="1244870683">
          <w:marLeft w:val="0"/>
          <w:marRight w:val="0"/>
          <w:marTop w:val="0"/>
          <w:marBottom w:val="0"/>
          <w:divBdr>
            <w:top w:val="none" w:sz="0" w:space="0" w:color="auto"/>
            <w:left w:val="none" w:sz="0" w:space="0" w:color="auto"/>
            <w:bottom w:val="none" w:sz="0" w:space="0" w:color="auto"/>
            <w:right w:val="none" w:sz="0" w:space="0" w:color="auto"/>
          </w:divBdr>
        </w:div>
        <w:div w:id="2049527213">
          <w:marLeft w:val="0"/>
          <w:marRight w:val="0"/>
          <w:marTop w:val="0"/>
          <w:marBottom w:val="0"/>
          <w:divBdr>
            <w:top w:val="none" w:sz="0" w:space="0" w:color="auto"/>
            <w:left w:val="none" w:sz="0" w:space="0" w:color="auto"/>
            <w:bottom w:val="none" w:sz="0" w:space="0" w:color="auto"/>
            <w:right w:val="none" w:sz="0" w:space="0" w:color="auto"/>
          </w:divBdr>
        </w:div>
        <w:div w:id="972832147">
          <w:marLeft w:val="0"/>
          <w:marRight w:val="0"/>
          <w:marTop w:val="0"/>
          <w:marBottom w:val="0"/>
          <w:divBdr>
            <w:top w:val="none" w:sz="0" w:space="0" w:color="auto"/>
            <w:left w:val="none" w:sz="0" w:space="0" w:color="auto"/>
            <w:bottom w:val="none" w:sz="0" w:space="0" w:color="auto"/>
            <w:right w:val="none" w:sz="0" w:space="0" w:color="auto"/>
          </w:divBdr>
        </w:div>
        <w:div w:id="504824192">
          <w:marLeft w:val="0"/>
          <w:marRight w:val="0"/>
          <w:marTop w:val="0"/>
          <w:marBottom w:val="0"/>
          <w:divBdr>
            <w:top w:val="none" w:sz="0" w:space="0" w:color="auto"/>
            <w:left w:val="none" w:sz="0" w:space="0" w:color="auto"/>
            <w:bottom w:val="none" w:sz="0" w:space="0" w:color="auto"/>
            <w:right w:val="none" w:sz="0" w:space="0" w:color="auto"/>
          </w:divBdr>
        </w:div>
      </w:divsChild>
    </w:div>
    <w:div w:id="863206934">
      <w:bodyDiv w:val="1"/>
      <w:marLeft w:val="0"/>
      <w:marRight w:val="0"/>
      <w:marTop w:val="0"/>
      <w:marBottom w:val="0"/>
      <w:divBdr>
        <w:top w:val="none" w:sz="0" w:space="0" w:color="auto"/>
        <w:left w:val="none" w:sz="0" w:space="0" w:color="auto"/>
        <w:bottom w:val="none" w:sz="0" w:space="0" w:color="auto"/>
        <w:right w:val="none" w:sz="0" w:space="0" w:color="auto"/>
      </w:divBdr>
    </w:div>
    <w:div w:id="1655378043">
      <w:bodyDiv w:val="1"/>
      <w:marLeft w:val="0"/>
      <w:marRight w:val="0"/>
      <w:marTop w:val="0"/>
      <w:marBottom w:val="0"/>
      <w:divBdr>
        <w:top w:val="none" w:sz="0" w:space="0" w:color="auto"/>
        <w:left w:val="none" w:sz="0" w:space="0" w:color="auto"/>
        <w:bottom w:val="none" w:sz="0" w:space="0" w:color="auto"/>
        <w:right w:val="none" w:sz="0" w:space="0" w:color="auto"/>
      </w:divBdr>
    </w:div>
    <w:div w:id="1675260698">
      <w:bodyDiv w:val="1"/>
      <w:marLeft w:val="0"/>
      <w:marRight w:val="0"/>
      <w:marTop w:val="0"/>
      <w:marBottom w:val="0"/>
      <w:divBdr>
        <w:top w:val="none" w:sz="0" w:space="0" w:color="auto"/>
        <w:left w:val="none" w:sz="0" w:space="0" w:color="auto"/>
        <w:bottom w:val="none" w:sz="0" w:space="0" w:color="auto"/>
        <w:right w:val="none" w:sz="0" w:space="0" w:color="auto"/>
      </w:divBdr>
    </w:div>
    <w:div w:id="1746100043">
      <w:bodyDiv w:val="1"/>
      <w:marLeft w:val="0"/>
      <w:marRight w:val="0"/>
      <w:marTop w:val="0"/>
      <w:marBottom w:val="0"/>
      <w:divBdr>
        <w:top w:val="none" w:sz="0" w:space="0" w:color="auto"/>
        <w:left w:val="none" w:sz="0" w:space="0" w:color="auto"/>
        <w:bottom w:val="none" w:sz="0" w:space="0" w:color="auto"/>
        <w:right w:val="none" w:sz="0" w:space="0" w:color="auto"/>
      </w:divBdr>
    </w:div>
    <w:div w:id="1882784657">
      <w:bodyDiv w:val="1"/>
      <w:marLeft w:val="0"/>
      <w:marRight w:val="0"/>
      <w:marTop w:val="0"/>
      <w:marBottom w:val="0"/>
      <w:divBdr>
        <w:top w:val="none" w:sz="0" w:space="0" w:color="auto"/>
        <w:left w:val="none" w:sz="0" w:space="0" w:color="auto"/>
        <w:bottom w:val="none" w:sz="0" w:space="0" w:color="auto"/>
        <w:right w:val="none" w:sz="0" w:space="0" w:color="auto"/>
      </w:divBdr>
    </w:div>
    <w:div w:id="1961956732">
      <w:bodyDiv w:val="1"/>
      <w:marLeft w:val="0"/>
      <w:marRight w:val="0"/>
      <w:marTop w:val="0"/>
      <w:marBottom w:val="0"/>
      <w:divBdr>
        <w:top w:val="none" w:sz="0" w:space="0" w:color="auto"/>
        <w:left w:val="none" w:sz="0" w:space="0" w:color="auto"/>
        <w:bottom w:val="none" w:sz="0" w:space="0" w:color="auto"/>
        <w:right w:val="none" w:sz="0" w:space="0" w:color="auto"/>
      </w:divBdr>
    </w:div>
    <w:div w:id="210371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ho.int/publications/i/item/978924150813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wipo.int/edocs/pubdocs/es/wipo_pub_1047.pdf"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inciencias.gov.co/sites/default/files/271022_guia_para_la_transferencia_de_tecnologia.pdf" TargetMode="External"/><Relationship Id="rId11" Type="http://schemas.openxmlformats.org/officeDocument/2006/relationships/hyperlink" Target="https://www.cepal.org/es/eventos/dialogo-regional-politicas-transferencia-tecnologia-america-latina" TargetMode="External"/><Relationship Id="rId5" Type="http://schemas.openxmlformats.org/officeDocument/2006/relationships/webSettings" Target="webSettings.xml"/><Relationship Id="rId10" Type="http://schemas.openxmlformats.org/officeDocument/2006/relationships/hyperlink" Target="https://www.oecd.org/sti/inno/universities-knowledge-transfer.htm" TargetMode="External"/><Relationship Id="rId4" Type="http://schemas.openxmlformats.org/officeDocument/2006/relationships/settings" Target="settings.xml"/><Relationship Id="rId9" Type="http://schemas.openxmlformats.org/officeDocument/2006/relationships/hyperlink" Target="https://www.wto.org/english/news_e/news22_e/trip_22feb22_e.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A0FB6-6A53-428A-B1D8-4E8DEF9C3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2089</Words>
  <Characters>11910</Characters>
  <Application>Microsoft Office Word</Application>
  <DocSecurity>0</DocSecurity>
  <Lines>99</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 CACERES</dc:creator>
  <cp:keywords/>
  <dc:description/>
  <cp:lastModifiedBy>LIZETH PAOLA CACERES GOMEZ</cp:lastModifiedBy>
  <cp:revision>24</cp:revision>
  <dcterms:created xsi:type="dcterms:W3CDTF">2025-03-29T16:17:00Z</dcterms:created>
  <dcterms:modified xsi:type="dcterms:W3CDTF">2025-07-30T06:07:00Z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PROYECTO FINAL_LL GRIS_TT_MAYO_2025</vt:lpwstr>
  </property>
  <property fmtid="{D5CDD505-2E9C-101B-9397-08002B2CF9AE}" pid="3" name="CitaviDocumentProperty_0">
    <vt:lpwstr>6a3facce-3db1-42a5-990d-6523dfbe9faf</vt:lpwstr>
  </property>
  <property fmtid="{D5CDD505-2E9C-101B-9397-08002B2CF9AE}" pid="4" name="CitaviDocumentProperty_8">
    <vt:lpwstr>C:\Users\Gessi\Documents\Citavi 7\Citavi 7 User Data\Projects\PROYECTO FINAL_LL GRIS_TT_MAYO_2025\PROYECTO FINAL_LL GRIS_TT_MAYO_2025.ctv6</vt:lpwstr>
  </property>
</Properties>
</file>